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lang w:eastAsia="zh-CN"/>
        </w:rPr>
        <w:t>淮北市经济和信息化局</w:t>
      </w:r>
      <w:r>
        <w:rPr>
          <w:rFonts w:hint="eastAsia" w:ascii="TimesNewRoman" w:hAnsi="TimesNewRoman" w:eastAsia="华文中宋" w:cs="TimesNewRoman"/>
          <w:b/>
          <w:sz w:val="44"/>
          <w:szCs w:val="44"/>
        </w:rPr>
        <w:t>2024年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部门预算</w:t>
      </w:r>
    </w:p>
    <w:p/>
    <w:p/>
    <w:p/>
    <w:p/>
    <w:p/>
    <w:p/>
    <w:p/>
    <w:p/>
    <w:p/>
    <w:p/>
    <w:p/>
    <w:p/>
    <w:p/>
    <w:p/>
    <w:p/>
    <w:p/>
    <w:p/>
    <w:p/>
    <w:p/>
    <w:p/>
    <w:p/>
    <w:p/>
    <w:p>
      <w:pPr>
        <w:pStyle w:val="9"/>
        <w:adjustRightInd w:val="0"/>
        <w:snapToGrid w:val="0"/>
        <w:spacing w:line="560" w:lineRule="exact"/>
        <w:jc w:val="center"/>
        <w:rPr>
          <w:rFonts w:ascii="TimesNewRoman" w:hAnsi="TimesNewRoman" w:eastAsia="黑体" w:cs="TimesNewRoman"/>
          <w:bCs/>
          <w:sz w:val="44"/>
          <w:szCs w:val="44"/>
        </w:rPr>
      </w:pPr>
    </w:p>
    <w:p>
      <w:pPr>
        <w:pStyle w:val="9"/>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2024年</w:t>
      </w:r>
      <w:r>
        <w:rPr>
          <w:rFonts w:hint="eastAsia" w:ascii="TimesNewRoman" w:hAnsi="TimesNewRoman" w:eastAsia="黑体" w:cs="TimesNewRoman"/>
          <w:bCs/>
          <w:sz w:val="44"/>
          <w:szCs w:val="44"/>
          <w:lang w:val="en-US" w:eastAsia="zh-CN"/>
        </w:rPr>
        <w:t>02</w:t>
      </w:r>
      <w:r>
        <w:rPr>
          <w:rFonts w:hint="eastAsia" w:ascii="TimesNewRoman" w:hAnsi="TimesNewRoman" w:eastAsia="黑体" w:cs="TimesNewRoman"/>
          <w:bCs/>
          <w:sz w:val="44"/>
          <w:szCs w:val="44"/>
        </w:rPr>
        <w:t>月</w:t>
      </w:r>
    </w:p>
    <w:p/>
    <w:p/>
    <w:p>
      <w:pPr>
        <w:pStyle w:val="9"/>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9"/>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、2024年度主要工作任务</w:t>
      </w:r>
    </w:p>
    <w:p>
      <w:pPr>
        <w:pStyle w:val="9"/>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2024年部门（单位）预算表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2024年收支总表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2024年收入总表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2024年支出总表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2024年财政拨款收支总表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2024年一般公共预算支出表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2024年一般公共预算基本支出表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2024年政府性基金预算支出表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2024年国有资本经营预算支出表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2024年项目支出表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2024年政府采购支出表</w:t>
      </w:r>
    </w:p>
    <w:p>
      <w:pPr>
        <w:pStyle w:val="9"/>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2024年政府购买服务支出表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w:t>
      </w:r>
      <w:r>
        <w:rPr>
          <w:rFonts w:hint="eastAsia" w:ascii="TimesNewRoman" w:hAnsi="TimesNewRoman" w:eastAsia="仿宋_GB2312" w:cs="TimesNewRoman"/>
          <w:bCs/>
          <w:sz w:val="32"/>
          <w:szCs w:val="32"/>
          <w:lang w:eastAsia="zh-CN"/>
        </w:rPr>
        <w:t>淮北市经济和信息化局</w:t>
      </w:r>
      <w:r>
        <w:rPr>
          <w:rFonts w:ascii="TimesNewRoman" w:hAnsi="TimesNewRoman" w:eastAsia="仿宋_GB2312" w:cs="TimesNewRoman"/>
          <w:bCs/>
          <w:sz w:val="32"/>
          <w:szCs w:val="32"/>
        </w:rPr>
        <w:t>2024年通用资产配置支出表</w:t>
      </w:r>
    </w:p>
    <w:p>
      <w:pPr>
        <w:pStyle w:val="9"/>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2024年部门（单位）预算情况说明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9"/>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9"/>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2024年部门预算纳入绩效考评项目表</w:t>
      </w:r>
    </w:p>
    <w:p>
      <w:pPr>
        <w:pStyle w:val="9"/>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bCs/>
          <w:sz w:val="32"/>
          <w:szCs w:val="32"/>
        </w:rPr>
        <w:t>2024年部门预算专项资金管理清单（专栏公开）</w:t>
      </w:r>
    </w:p>
    <w:p>
      <w:pPr>
        <w:pStyle w:val="9"/>
        <w:adjustRightInd w:val="0"/>
        <w:snapToGrid w:val="0"/>
        <w:spacing w:line="400" w:lineRule="exact"/>
        <w:ind w:firstLine="800" w:firstLineChars="250"/>
        <w:rPr>
          <w:rFonts w:ascii="TimesNewRoman" w:hAnsi="TimesNewRoman" w:eastAsia="仿宋_GB2312" w:cs="TimesNewRoman"/>
          <w:bCs/>
          <w:sz w:val="32"/>
          <w:szCs w:val="32"/>
        </w:rPr>
      </w:pPr>
    </w:p>
    <w:p>
      <w:pPr>
        <w:pStyle w:val="9"/>
        <w:adjustRightInd w:val="0"/>
        <w:snapToGrid w:val="0"/>
        <w:spacing w:line="560" w:lineRule="exact"/>
        <w:jc w:val="center"/>
        <w:rPr>
          <w:rFonts w:hint="eastAsia" w:ascii="TimesNewRoman" w:hAnsi="TimesNewRoman" w:eastAsia="黑体" w:cs="TimesNewRoman"/>
          <w:bCs/>
          <w:sz w:val="36"/>
          <w:szCs w:val="36"/>
        </w:rPr>
      </w:pPr>
    </w:p>
    <w:p>
      <w:pPr>
        <w:pStyle w:val="9"/>
        <w:adjustRightInd w:val="0"/>
        <w:snapToGrid w:val="0"/>
        <w:spacing w:line="560" w:lineRule="exact"/>
        <w:jc w:val="center"/>
        <w:rPr>
          <w:rFonts w:hint="eastAsia" w:ascii="TimesNewRoman" w:hAnsi="TimesNewRoman" w:eastAsia="黑体" w:cs="TimesNewRoman"/>
          <w:bCs/>
          <w:sz w:val="36"/>
          <w:szCs w:val="36"/>
        </w:rPr>
      </w:pPr>
    </w:p>
    <w:p>
      <w:pPr>
        <w:pStyle w:val="9"/>
        <w:adjustRightInd w:val="0"/>
        <w:snapToGrid w:val="0"/>
        <w:spacing w:line="560" w:lineRule="exact"/>
        <w:jc w:val="center"/>
        <w:rPr>
          <w:rFonts w:hint="eastAsia" w:ascii="TimesNewRoman" w:hAnsi="TimesNewRoman" w:eastAsia="黑体" w:cs="TimesNewRoman"/>
          <w:bCs/>
          <w:sz w:val="36"/>
          <w:szCs w:val="36"/>
        </w:rPr>
      </w:pPr>
    </w:p>
    <w:p>
      <w:pPr>
        <w:pStyle w:val="9"/>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ind w:firstLine="64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贯彻执行国家有关经济、信息化的法律法规规章，起草相关地方性法规规章草案。拟订并组织实施经济和信息化的发展规划，推进产业结构战略性调整和优化升级，推进信息化和工业化融合发展。</w:t>
      </w:r>
    </w:p>
    <w:p>
      <w:pPr>
        <w:ind w:firstLine="64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制定并组织实施工业、信息化相关行业的规划、计划和产业政策，提出优化产业布局、结构的政策建议。拟定行业技术规范与行业标准并组织实施，指导行业质量管理和安全生产管理工作。</w:t>
      </w:r>
    </w:p>
    <w:p>
      <w:pPr>
        <w:ind w:firstLine="64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监测研判经济运行态势，收集、整理、分析和发布经济信息，提出相关政策建议，协调经济运行中的重大问题。承担工业、信息化相关行业应急管理、产业安全和国防动员有关工作。</w:t>
      </w:r>
    </w:p>
    <w:p>
      <w:pPr>
        <w:ind w:firstLine="64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负责提出工业、信息化技术改造投资规模和方向的建议。按照规定权限，对工业和信息化固定资产投资项目进</w:t>
      </w:r>
    </w:p>
    <w:p>
      <w:pPr>
        <w:rPr>
          <w:rFonts w:hint="eastAsia" w:ascii="仿宋_GB2312" w:eastAsia="仿宋_GB2312"/>
          <w:sz w:val="32"/>
          <w:szCs w:val="32"/>
        </w:rPr>
      </w:pPr>
      <w:r>
        <w:rPr>
          <w:rFonts w:hint="eastAsia" w:ascii="仿宋_GB2312" w:eastAsia="仿宋_GB2312"/>
          <w:sz w:val="32"/>
          <w:szCs w:val="32"/>
        </w:rPr>
        <w:t>行备案，并对重点项目进行管理和督查。</w:t>
      </w:r>
    </w:p>
    <w:p>
      <w:pPr>
        <w:ind w:firstLine="64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指导工业和信息化领域技术创新、技术进步，推动企业技术创新、技术进步、技术引进和重大技术装备研制，推进高新技术与传统工业改造结合。推动产学研联合和相关科研成果产业化。</w:t>
      </w:r>
    </w:p>
    <w:p>
      <w:pPr>
        <w:ind w:firstLine="64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拟订工业、信息化相关产业的能源节约、资源综合利用、清洁生产促进政策并组织实施。参与拟定能源节约和资源综合利用、清洁生产促进规划。组织协调相关示范工程和新产品、新技术、新设备、新材料的推广应用。指导和协调工业环境保护和节能环保产业的发展，推进绿色制造。</w:t>
      </w:r>
    </w:p>
    <w:p>
      <w:pPr>
        <w:ind w:firstLine="64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负责全市盐业行业管理和医药储备管理。</w:t>
      </w:r>
    </w:p>
    <w:p>
      <w:pPr>
        <w:ind w:firstLine="64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负责中小企业和民营经济发展的指导、协调和服务，</w:t>
      </w:r>
    </w:p>
    <w:p>
      <w:pPr>
        <w:ind w:firstLine="640"/>
        <w:rPr>
          <w:rFonts w:hint="eastAsia" w:ascii="仿宋_GB2312" w:eastAsia="仿宋_GB2312"/>
          <w:sz w:val="32"/>
          <w:szCs w:val="32"/>
        </w:rPr>
      </w:pPr>
      <w:r>
        <w:rPr>
          <w:rFonts w:hint="eastAsia" w:ascii="仿宋_GB2312" w:eastAsia="仿宋_GB2312"/>
          <w:sz w:val="32"/>
          <w:szCs w:val="32"/>
        </w:rPr>
        <w:t>拟订促进中小企业和民营经济发展的相关政策措施，协调解决有关重大问题。推进与中央企业合作发展工作。</w:t>
      </w:r>
    </w:p>
    <w:p>
      <w:pPr>
        <w:numPr>
          <w:ilvl w:val="0"/>
          <w:numId w:val="1"/>
        </w:numPr>
        <w:ind w:firstLine="640"/>
        <w:rPr>
          <w:rFonts w:hint="eastAsia" w:ascii="仿宋_GB2312" w:eastAsia="仿宋_GB2312"/>
          <w:sz w:val="32"/>
          <w:szCs w:val="32"/>
        </w:rPr>
      </w:pPr>
      <w:r>
        <w:rPr>
          <w:rFonts w:hint="eastAsia" w:ascii="仿宋_GB2312" w:eastAsia="仿宋_GB2312"/>
          <w:sz w:val="32"/>
          <w:szCs w:val="32"/>
        </w:rPr>
        <w:t>统筹推进全市工业领域信息化发展和信息安全保障工作，研究拟定相关政策措施并协调重大问题。负责推进电子信息产品制造业、软件和信息服务业等信息技术产业发展，促进通信网、广播电视网和计算机网融合发展。</w:t>
      </w:r>
    </w:p>
    <w:p>
      <w:pPr>
        <w:numPr>
          <w:ilvl w:val="0"/>
          <w:numId w:val="0"/>
        </w:numPr>
        <w:ind w:firstLine="640" w:firstLineChars="200"/>
        <w:rPr>
          <w:rFonts w:ascii="TimesNewRoman" w:hAnsi="TimesNewRoman" w:eastAsia="仿宋_GB2312" w:cs="TimesNewRoman"/>
          <w:bCs/>
          <w:sz w:val="32"/>
          <w:szCs w:val="32"/>
        </w:rPr>
      </w:pPr>
      <w:r>
        <w:rPr>
          <w:rFonts w:hint="eastAsia" w:ascii="仿宋_GB2312" w:eastAsia="仿宋_GB2312"/>
          <w:sz w:val="32"/>
          <w:szCs w:val="32"/>
          <w:lang w:eastAsia="zh-CN"/>
        </w:rPr>
        <w:t>（十）</w:t>
      </w:r>
      <w:r>
        <w:rPr>
          <w:rFonts w:hint="eastAsia" w:ascii="仿宋_GB2312" w:eastAsia="仿宋_GB2312"/>
          <w:sz w:val="32"/>
          <w:szCs w:val="32"/>
        </w:rPr>
        <w:t>完成市委、市政府交办的其他任务</w:t>
      </w:r>
      <w:r>
        <w:rPr>
          <w:rFonts w:hint="eastAsia" w:ascii="仿宋_GB2312" w:eastAsia="仿宋_GB2312"/>
          <w:sz w:val="32"/>
          <w:szCs w:val="32"/>
          <w:lang w:eastAsia="zh-CN"/>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pStyle w:val="9"/>
        <w:adjustRightInd w:val="0"/>
        <w:snapToGrid w:val="0"/>
        <w:spacing w:line="560" w:lineRule="exact"/>
        <w:ind w:firstLine="627" w:firstLineChars="196"/>
        <w:rPr>
          <w:rFonts w:hint="eastAsia" w:ascii="TimesNewRoman" w:hAnsi="TimesNewRoman" w:eastAsia="仿宋_GB2312" w:cs="TimesNew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lang w:eastAsia="zh-CN"/>
        </w:rPr>
        <w:t>淮北市经济和信息化局</w:t>
      </w:r>
      <w:r>
        <w:rPr>
          <w:rFonts w:hint="eastAsia" w:ascii="TimesNewRoman" w:hAnsi="TimesNewRoman" w:eastAsia="仿宋_GB2312" w:cs="TimesNewRoman"/>
          <w:sz w:val="32"/>
          <w:szCs w:val="32"/>
        </w:rPr>
        <w:t>2024年度部门预算仅包括</w:t>
      </w:r>
      <w:r>
        <w:rPr>
          <w:rFonts w:hint="eastAsia" w:ascii="TimesNewRoman" w:hAnsi="TimesNewRoman" w:eastAsia="仿宋_GB2312" w:cs="TimesNewRoman"/>
          <w:sz w:val="32"/>
          <w:szCs w:val="32"/>
          <w:lang w:val="en-US" w:eastAsia="zh-CN"/>
        </w:rPr>
        <w:t>局本级预算和局下属单位预算，纳入部门预算编制范围的单位共2个，具体情况见下表</w:t>
      </w:r>
      <w:r>
        <w:rPr>
          <w:rFonts w:hint="eastAsia" w:ascii="TimesNewRoman" w:hAnsi="TimesNewRoman" w:eastAsia="仿宋_GB2312" w:cs="TimesNewRoman"/>
          <w:sz w:val="32"/>
          <w:szCs w:val="32"/>
        </w:rPr>
        <w:t>。</w:t>
      </w:r>
    </w:p>
    <w:tbl>
      <w:tblPr>
        <w:tblStyle w:val="11"/>
        <w:tblW w:w="8540" w:type="dxa"/>
        <w:jc w:val="center"/>
        <w:tblLayout w:type="fixed"/>
        <w:tblCellMar>
          <w:top w:w="0" w:type="dxa"/>
          <w:left w:w="0" w:type="dxa"/>
          <w:bottom w:w="0" w:type="dxa"/>
          <w:right w:w="0" w:type="dxa"/>
        </w:tblCellMar>
      </w:tblPr>
      <w:tblGrid>
        <w:gridCol w:w="854"/>
        <w:gridCol w:w="3416"/>
        <w:gridCol w:w="4270"/>
      </w:tblGrid>
      <w:tr>
        <w:tblPrEx>
          <w:tblCellMar>
            <w:top w:w="0" w:type="dxa"/>
            <w:left w:w="0" w:type="dxa"/>
            <w:bottom w:w="0" w:type="dxa"/>
            <w:right w:w="0" w:type="dxa"/>
          </w:tblCellMar>
        </w:tblPrEx>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u w:val="single"/>
              </w:rPr>
            </w:pPr>
            <w:r>
              <w:rPr>
                <w:rFonts w:hint="eastAsia" w:ascii="TimesNewRoman" w:hAnsi="TimesNewRoman" w:cs="TimesNewRoman"/>
                <w:bCs/>
                <w:sz w:val="24"/>
                <w:lang w:eastAsia="zh-CN"/>
              </w:rPr>
              <w:t>淮北市经济和信息化局</w:t>
            </w:r>
            <w:r>
              <w:rPr>
                <w:rFonts w:ascii="TimesNewRoman" w:hAnsi="TimesNewRoman" w:cs="TimesNewRoman"/>
                <w:bCs/>
                <w:sz w:val="24"/>
              </w:rPr>
              <w:t>本级</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行政单位</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rPr>
            </w:pPr>
            <w:r>
              <w:rPr>
                <w:rFonts w:ascii="TimesNewRoman" w:hAnsi="TimesNewRoman" w:cs="TimesNewRoman"/>
                <w:sz w:val="24"/>
              </w:rPr>
              <w:t>2</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NewRoman" w:hAnsi="TimesNewRoman" w:cs="TimesNewRoman"/>
                <w:sz w:val="24"/>
                <w:u w:val="single"/>
              </w:rPr>
            </w:pPr>
            <w:r>
              <w:rPr>
                <w:rFonts w:hint="eastAsia" w:ascii="TimesNewRoman" w:hAnsi="TimesNewRoman" w:cs="TimesNewRoman"/>
                <w:sz w:val="24"/>
                <w:u w:val="none"/>
              </w:rPr>
              <w:t>淮北市企业服务中心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NewRoman" w:hAnsi="TimesNewRoman" w:cs="TimesNewRoman"/>
                <w:sz w:val="24"/>
                <w:u w:val="single"/>
              </w:rPr>
            </w:pPr>
            <w:r>
              <w:rPr>
                <w:rFonts w:ascii="TimesNewRoman" w:hAnsi="TimesNewRoman" w:cs="TimesNewRoman"/>
                <w:bCs/>
                <w:sz w:val="24"/>
              </w:rPr>
              <w:t>参照公务员法管理的事业单位</w:t>
            </w:r>
          </w:p>
        </w:tc>
      </w:tr>
    </w:tbl>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三、2024年度主要工作任务</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val="en-US" w:eastAsia="zh-CN"/>
        </w:rPr>
      </w:pPr>
      <w:r>
        <w:rPr>
          <w:rFonts w:hint="eastAsia" w:ascii="TimesNewRoman" w:hAnsi="TimesNewRoman" w:eastAsia="仿宋_GB2312" w:cs="TimesNewRoman"/>
          <w:bCs/>
          <w:sz w:val="32"/>
          <w:szCs w:val="32"/>
        </w:rPr>
        <w:t>（一）全力促进工业经济平稳增长</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研究出台巩固和增强经济回升向好态势举措，持续推动工业经济实现质的有效提升和量的合理增长。</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（二）聚力推动工业项目建设扩量提速</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树牢“项目为王”理念，坚持招引储备一批、开工建设一批、投产达效一批，以项目建设的“进”，确保经济运行的“稳”。</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（三）加快构建“五群十链”产业体系</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制定出台加快推进新型工业化建设智能绿色制造强市、先进制造业集群培育实施方案，构建现代产业体系，培育发展新质生产力。</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（四）大力推进优质企业梯队培育</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坚持抓大、培优、扶小、育新相结合，推动骨干优势企业做强做优、中小企业专精特新发展、规上工业企业扩容提质。</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（五）加速推动制造业“智改数转网联”</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深入贯彻数字化转型方案及支持政策，加快推动制造业全方位、全链条改造，提高全要素生产率。</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（六）坚持创新引领、改革赋能</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创新引领、质量优先，加快提升产品技术水平和竞争实力，多措并举提升工业经济发展质效。</w:t>
      </w:r>
    </w:p>
    <w:p>
      <w:pPr>
        <w:pStyle w:val="9"/>
        <w:adjustRightInd w:val="0"/>
        <w:snapToGrid w:val="0"/>
        <w:spacing w:line="560" w:lineRule="exact"/>
        <w:ind w:firstLine="627" w:firstLineChars="196"/>
        <w:rPr>
          <w:rFonts w:hint="eastAsia" w:ascii="TimesNewRoman" w:hAnsi="TimesNewRoman" w:eastAsia="仿宋_GB2312" w:cs="TimesNewRoman"/>
          <w:bCs/>
          <w:sz w:val="32"/>
          <w:szCs w:val="32"/>
          <w:lang w:eastAsia="zh-CN"/>
        </w:rPr>
      </w:pPr>
      <w:r>
        <w:rPr>
          <w:rFonts w:hint="eastAsia" w:ascii="TimesNewRoman" w:hAnsi="TimesNewRoman" w:eastAsia="仿宋_GB2312" w:cs="TimesNewRoman"/>
          <w:bCs/>
          <w:sz w:val="32"/>
          <w:szCs w:val="32"/>
        </w:rPr>
        <w:t>（七）不断优化营商环境</w:t>
      </w:r>
      <w:r>
        <w:rPr>
          <w:rFonts w:hint="eastAsia" w:ascii="TimesNewRoman" w:hAnsi="TimesNewRoman" w:eastAsia="仿宋_GB2312" w:cs="TimesNewRoman"/>
          <w:bCs/>
          <w:sz w:val="32"/>
          <w:szCs w:val="32"/>
          <w:lang w:eastAsia="zh-CN"/>
        </w:rPr>
        <w:t>。</w:t>
      </w:r>
    </w:p>
    <w:p>
      <w:pPr>
        <w:pStyle w:val="9"/>
        <w:adjustRightInd w:val="0"/>
        <w:snapToGrid w:val="0"/>
        <w:spacing w:line="560" w:lineRule="exact"/>
        <w:ind w:firstLine="627" w:firstLineChars="196"/>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树牢以企为本理念，坚持把经济发展的着力点放在实体经济上，创优企业发展环境。</w:t>
      </w:r>
    </w:p>
    <w:p/>
    <w:p>
      <w:pPr>
        <w:pStyle w:val="9"/>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2024年部门（单位）预算表</w:t>
      </w:r>
    </w:p>
    <w:p>
      <w:pPr>
        <w:pStyle w:val="9"/>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9"/>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2024年部门（单位）预算情况说明</w:t>
      </w:r>
    </w:p>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一、关于2024年收支总表的说明</w:t>
      </w:r>
    </w:p>
    <w:p>
      <w:pPr>
        <w:pStyle w:val="9"/>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r>
        <w:rPr>
          <w:rFonts w:hint="eastAsia" w:ascii="TimesNewRoman" w:hAnsi="TimesNewRoman" w:eastAsia="仿宋_GB2312" w:cs="TimesNewRoman"/>
          <w:sz w:val="32"/>
          <w:szCs w:val="32"/>
          <w:lang w:eastAsia="zh-CN"/>
        </w:rPr>
        <w:t>淮北市经济和信息化局</w:t>
      </w:r>
      <w:r>
        <w:rPr>
          <w:rFonts w:hint="eastAsia" w:ascii="TimesNewRoman" w:hAnsi="TimesNewRoman" w:eastAsia="仿宋_GB2312" w:cs="TimesNewRoman"/>
          <w:sz w:val="32"/>
          <w:szCs w:val="32"/>
        </w:rPr>
        <w:t>所有收入和支出均纳入部门（单位）预算管理。</w:t>
      </w:r>
      <w:r>
        <w:rPr>
          <w:rFonts w:hint="eastAsia" w:ascii="TimesNewRoman" w:hAnsi="TimesNewRoman" w:eastAsia="仿宋_GB2312" w:cs="TimesNewRoman"/>
          <w:sz w:val="32"/>
          <w:szCs w:val="32"/>
          <w:lang w:eastAsia="zh-CN"/>
        </w:rPr>
        <w:t>淮北市经济和信息化局</w:t>
      </w:r>
      <w:r>
        <w:rPr>
          <w:rFonts w:hint="eastAsia" w:ascii="TimesNewRoman" w:hAnsi="TimesNewRoman" w:eastAsia="仿宋_GB2312" w:cs="TimesNewRoman"/>
          <w:sz w:val="32"/>
          <w:szCs w:val="32"/>
        </w:rPr>
        <w:t>2024年收支总预算9</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564.39万元，收入全部是一般公共预算拨款收入9</w:t>
      </w:r>
      <w:r>
        <w:rPr>
          <w:rFonts w:hint="eastAsia" w:ascii="TimesNewRoman" w:hAnsi="TimesNewRoman" w:eastAsia="仿宋_GB2312" w:cs="TimesNewRoman"/>
          <w:sz w:val="32"/>
          <w:szCs w:val="32"/>
          <w:lang w:val="en-US" w:eastAsia="zh-CN"/>
        </w:rPr>
        <w:t>,</w:t>
      </w:r>
      <w:r>
        <w:rPr>
          <w:rFonts w:hint="eastAsia" w:ascii="TimesNewRoman" w:hAnsi="TimesNewRoman" w:eastAsia="仿宋_GB2312" w:cs="TimesNewRoman"/>
          <w:sz w:val="32"/>
          <w:szCs w:val="32"/>
        </w:rPr>
        <w:t>564.39万元，支出包括：</w:t>
      </w:r>
      <w:r>
        <w:rPr>
          <w:rFonts w:hint="eastAsia" w:ascii="仿宋_GB2312" w:hAnsi="仿宋" w:eastAsia="仿宋_GB2312"/>
          <w:sz w:val="32"/>
          <w:szCs w:val="32"/>
        </w:rPr>
        <w:t>社会保障和就业支出、卫生健康支出、资源勘探信息等事务支出、住房保障支出</w:t>
      </w:r>
      <w:r>
        <w:rPr>
          <w:rFonts w:hint="eastAsia" w:ascii="TimesNewRoman" w:hAnsi="TimesNewRoman" w:eastAsia="仿宋_GB2312" w:cs="TimesNewRoman"/>
          <w:sz w:val="32"/>
          <w:szCs w:val="32"/>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二、关于2024年收入总表的说明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2024年收入预算</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100.00</w:t>
      </w:r>
      <w:r>
        <w:rPr>
          <w:rFonts w:hint="eastAsia" w:ascii="TimesNewRoman" w:hAnsi="TimesNewRoman" w:eastAsia="仿宋_GB2312" w:cs="TimesNewRoman"/>
          <w:kern w:val="0"/>
          <w:sz w:val="32"/>
          <w:szCs w:val="32"/>
        </w:rPr>
        <w:t>%，比2023年预算减少474.7</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4.75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人员变动，减少项目支出</w:t>
      </w:r>
      <w:r>
        <w:rPr>
          <w:rFonts w:hint="eastAsia" w:ascii="TimesNewRoman" w:hAnsi="TimesNewRoman" w:eastAsia="仿宋_GB2312" w:cs="TimesNewRoman"/>
          <w:kern w:val="0"/>
          <w:sz w:val="32"/>
          <w:szCs w:val="32"/>
        </w:rPr>
        <w:t>2023年支持制造业提质扩量增效奖补资金；政府性基金预算拨款收入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%，比2023年预算增加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本部门无</w:t>
      </w:r>
      <w:r>
        <w:rPr>
          <w:rFonts w:hint="eastAsia" w:ascii="TimesNewRoman" w:hAnsi="TimesNewRoman" w:eastAsia="仿宋_GB2312" w:cs="TimesNewRoman"/>
          <w:kern w:val="0"/>
          <w:sz w:val="32"/>
          <w:szCs w:val="32"/>
        </w:rPr>
        <w:t>政府性基金预算拨款收入；财政专户管理资金收入</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%，比2023年预算增加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本部门无</w:t>
      </w:r>
      <w:r>
        <w:rPr>
          <w:rFonts w:hint="eastAsia" w:ascii="TimesNewRoman" w:hAnsi="TimesNewRoman" w:eastAsia="仿宋_GB2312" w:cs="TimesNewRoman"/>
          <w:kern w:val="0"/>
          <w:sz w:val="32"/>
          <w:szCs w:val="32"/>
        </w:rPr>
        <w:t>财政专户管理资金收入。</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三、关于2024年支出总表的说明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2024年支出预算</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万元，比2023年预算减少474.7</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4.75</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人员变动，减少项目支出</w:t>
      </w:r>
      <w:r>
        <w:rPr>
          <w:rFonts w:hint="eastAsia" w:ascii="TimesNewRoman" w:hAnsi="TimesNewRoman" w:eastAsia="仿宋_GB2312" w:cs="TimesNewRoman"/>
          <w:kern w:val="0"/>
          <w:sz w:val="32"/>
          <w:szCs w:val="32"/>
        </w:rPr>
        <w:t>2023年支持制造业提质扩量增效奖补资金。其中，基本支出1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682.1</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17.59</w:t>
      </w:r>
      <w:r>
        <w:rPr>
          <w:rFonts w:hint="eastAsia" w:ascii="TimesNewRoman" w:hAnsi="TimesNewRoman" w:eastAsia="仿宋_GB2312" w:cs="TimesNewRoman"/>
          <w:kern w:val="0"/>
          <w:sz w:val="32"/>
          <w:szCs w:val="32"/>
        </w:rPr>
        <w:t>%，主要用于保障机构日常运转、完成日常工作任务；项目支出7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882.2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82.41</w:t>
      </w:r>
      <w:r>
        <w:rPr>
          <w:rFonts w:hint="eastAsia" w:ascii="TimesNewRoman" w:hAnsi="TimesNewRoman" w:eastAsia="仿宋_GB2312" w:cs="TimesNewRoman"/>
          <w:kern w:val="0"/>
          <w:sz w:val="32"/>
          <w:szCs w:val="32"/>
        </w:rPr>
        <w:t>%，主要用于工业经济和信息化工作运行经费</w:t>
      </w:r>
      <w:r>
        <w:rPr>
          <w:rFonts w:hint="eastAsia" w:ascii="TimesNewRoman" w:hAnsi="TimesNewRoman" w:eastAsia="仿宋_GB2312" w:cs="TimesNewRoman"/>
          <w:kern w:val="0"/>
          <w:sz w:val="32"/>
          <w:szCs w:val="32"/>
          <w:lang w:eastAsia="zh-CN"/>
        </w:rPr>
        <w:t>、世界制造业大会经费、2023年支持制造业提质扩量增效奖补资金、办公大楼劳务经费、工业经济发展第三方项目服务费、市级食盐储备补助资金、工程系列初中级专业技术资格评审费、节能监察专项经费、中小企业发展促进中心专项经费、办公大楼运行等工作经费、</w:t>
      </w:r>
      <w:r>
        <w:rPr>
          <w:rFonts w:hint="eastAsia" w:ascii="TimesNewRoman" w:hAnsi="TimesNewRoman" w:eastAsia="仿宋_GB2312" w:cs="TimesNewRoman"/>
          <w:kern w:val="0"/>
          <w:sz w:val="32"/>
          <w:szCs w:val="32"/>
          <w:lang w:val="en-US" w:eastAsia="zh-CN"/>
        </w:rPr>
        <w:t>办公大楼运行等工作经费、企业离休人员管理服务费、行业职能和管理服务费</w:t>
      </w:r>
      <w:r>
        <w:rPr>
          <w:rFonts w:hint="eastAsia" w:ascii="TimesNewRoman" w:hAnsi="TimesNewRoman" w:eastAsia="仿宋_GB2312" w:cs="TimesNewRoman"/>
          <w:kern w:val="0"/>
          <w:sz w:val="32"/>
          <w:szCs w:val="32"/>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四、关于2024年财政拨款收支总表的说明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2024年财政拨款收支预算</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eastAsia="zh-CN"/>
        </w:rPr>
        <w:t>9,564.39</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万元。支出按功能分类分为：社会保障和就业支出762.99万元，占</w:t>
      </w:r>
      <w:r>
        <w:rPr>
          <w:rFonts w:hint="eastAsia" w:ascii="TimesNewRoman" w:hAnsi="TimesNewRoman" w:eastAsia="仿宋_GB2312" w:cs="TimesNewRoman"/>
          <w:kern w:val="0"/>
          <w:sz w:val="32"/>
          <w:szCs w:val="32"/>
          <w:lang w:val="en-US" w:eastAsia="zh-CN"/>
        </w:rPr>
        <w:t>7.98</w:t>
      </w:r>
      <w:r>
        <w:rPr>
          <w:rFonts w:hint="eastAsia" w:ascii="TimesNewRoman" w:hAnsi="TimesNewRoman" w:eastAsia="仿宋_GB2312" w:cs="TimesNewRoman"/>
          <w:kern w:val="0"/>
          <w:sz w:val="32"/>
          <w:szCs w:val="32"/>
        </w:rPr>
        <w:t>%；卫生健康支出74.4</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0.78</w:t>
      </w:r>
      <w:r>
        <w:rPr>
          <w:rFonts w:hint="eastAsia" w:ascii="TimesNewRoman" w:hAnsi="TimesNewRoman" w:eastAsia="仿宋_GB2312" w:cs="TimesNewRoman"/>
          <w:kern w:val="0"/>
          <w:sz w:val="32"/>
          <w:szCs w:val="32"/>
        </w:rPr>
        <w:t>%；资源勘探工业信息等支出8</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598.45万元，占</w:t>
      </w:r>
      <w:r>
        <w:rPr>
          <w:rFonts w:hint="eastAsia" w:ascii="TimesNewRoman" w:hAnsi="TimesNewRoman" w:eastAsia="仿宋_GB2312" w:cs="TimesNewRoman"/>
          <w:kern w:val="0"/>
          <w:sz w:val="32"/>
          <w:szCs w:val="32"/>
          <w:lang w:val="en-US" w:eastAsia="zh-CN"/>
        </w:rPr>
        <w:t>89.90</w:t>
      </w:r>
      <w:r>
        <w:rPr>
          <w:rFonts w:hint="eastAsia" w:ascii="TimesNewRoman" w:hAnsi="TimesNewRoman" w:eastAsia="仿宋_GB2312" w:cs="TimesNewRoman"/>
          <w:kern w:val="0"/>
          <w:sz w:val="32"/>
          <w:szCs w:val="32"/>
        </w:rPr>
        <w:t>%；住房保障支出128.5</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1.34</w:t>
      </w:r>
      <w:r>
        <w:rPr>
          <w:rFonts w:hint="eastAsia" w:ascii="TimesNewRoman" w:hAnsi="TimesNewRoman" w:eastAsia="仿宋_GB2312" w:cs="TimesNewRoman"/>
          <w:kern w:val="0"/>
          <w:sz w:val="32"/>
          <w:szCs w:val="32"/>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五、关于2024年一般公共预算支出表的说明</w:t>
      </w:r>
    </w:p>
    <w:p>
      <w:pPr>
        <w:pStyle w:val="9"/>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2024年一般公共预算支出</w:t>
      </w:r>
      <w:r>
        <w:rPr>
          <w:rFonts w:hint="eastAsia" w:ascii="TimesNewRoman" w:hAnsi="TimesNewRoman" w:eastAsia="仿宋_GB2312" w:cs="TimesNewRoman"/>
          <w:sz w:val="32"/>
          <w:szCs w:val="32"/>
          <w:lang w:eastAsia="zh-CN"/>
        </w:rPr>
        <w:t>9,564.39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100.00</w:t>
      </w:r>
      <w:r>
        <w:rPr>
          <w:rFonts w:hint="eastAsia" w:ascii="TimesNewRoman" w:hAnsi="TimesNewRoman" w:eastAsia="仿宋_GB2312" w:cs="TimesNewRoman"/>
          <w:kern w:val="0"/>
          <w:sz w:val="32"/>
          <w:szCs w:val="32"/>
        </w:rPr>
        <w:t>%，比2023年预算减少474.7</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4.75</w:t>
      </w:r>
      <w:r>
        <w:rPr>
          <w:rFonts w:hint="eastAsia" w:ascii="TimesNewRoman" w:hAnsi="TimesNewRoman" w:eastAsia="仿宋_GB2312" w:cs="TimesNewRoman"/>
          <w:kern w:val="0"/>
          <w:sz w:val="32"/>
          <w:szCs w:val="32"/>
        </w:rPr>
        <w:t>%，原因主要</w:t>
      </w:r>
      <w:r>
        <w:rPr>
          <w:rFonts w:hint="eastAsia" w:ascii="TimesNewRoman" w:hAnsi="TimesNewRoman" w:eastAsia="仿宋_GB2312" w:cs="TimesNewRoman"/>
          <w:kern w:val="0"/>
          <w:sz w:val="32"/>
          <w:szCs w:val="32"/>
          <w:lang w:val="en-US" w:eastAsia="zh-CN"/>
        </w:rPr>
        <w:t>一</w:t>
      </w:r>
      <w:r>
        <w:rPr>
          <w:rFonts w:hint="eastAsia" w:ascii="TimesNewRoman" w:hAnsi="TimesNewRoman" w:eastAsia="仿宋_GB2312" w:cs="TimesNewRoman"/>
          <w:kern w:val="0"/>
          <w:sz w:val="32"/>
          <w:szCs w:val="32"/>
        </w:rPr>
        <w:t>是</w:t>
      </w:r>
      <w:r>
        <w:rPr>
          <w:rFonts w:hint="eastAsia" w:ascii="TimesNewRoman" w:hAnsi="TimesNewRoman" w:eastAsia="仿宋_GB2312" w:cs="TimesNewRoman"/>
          <w:kern w:val="0"/>
          <w:sz w:val="32"/>
          <w:szCs w:val="32"/>
          <w:lang w:val="en-US" w:eastAsia="zh-CN"/>
        </w:rPr>
        <w:t>人员变动，二是减少项目支出</w:t>
      </w:r>
      <w:r>
        <w:rPr>
          <w:rFonts w:hint="eastAsia" w:ascii="TimesNewRoman" w:hAnsi="TimesNewRoman" w:eastAsia="仿宋_GB2312" w:cs="TimesNewRoman"/>
          <w:kern w:val="0"/>
          <w:sz w:val="32"/>
          <w:szCs w:val="32"/>
        </w:rPr>
        <w:t>2023年支持制造业提质扩量增效奖补资金。</w:t>
      </w:r>
    </w:p>
    <w:p>
      <w:pPr>
        <w:pStyle w:val="9"/>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社会保障和就业支出762.99万元，占</w:t>
      </w:r>
      <w:r>
        <w:rPr>
          <w:rFonts w:hint="eastAsia" w:ascii="TimesNewRoman" w:hAnsi="TimesNewRoman" w:eastAsia="仿宋_GB2312" w:cs="TimesNewRoman"/>
          <w:kern w:val="0"/>
          <w:sz w:val="32"/>
          <w:szCs w:val="32"/>
          <w:lang w:val="en-US" w:eastAsia="zh-CN"/>
        </w:rPr>
        <w:t>7.98</w:t>
      </w:r>
      <w:r>
        <w:rPr>
          <w:rFonts w:hint="eastAsia" w:ascii="TimesNewRoman" w:hAnsi="TimesNewRoman" w:eastAsia="仿宋_GB2312" w:cs="TimesNewRoman"/>
          <w:kern w:val="0"/>
          <w:sz w:val="32"/>
          <w:szCs w:val="32"/>
        </w:rPr>
        <w:t>%；卫生健康支出74.4</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0.78</w:t>
      </w:r>
      <w:r>
        <w:rPr>
          <w:rFonts w:hint="eastAsia" w:ascii="TimesNewRoman" w:hAnsi="TimesNewRoman" w:eastAsia="仿宋_GB2312" w:cs="TimesNewRoman"/>
          <w:kern w:val="0"/>
          <w:sz w:val="32"/>
          <w:szCs w:val="32"/>
        </w:rPr>
        <w:t>%；资源勘探工业信息等支出8598.45万元，占</w:t>
      </w:r>
      <w:r>
        <w:rPr>
          <w:rFonts w:hint="eastAsia" w:ascii="TimesNewRoman" w:hAnsi="TimesNewRoman" w:eastAsia="仿宋_GB2312" w:cs="TimesNewRoman"/>
          <w:kern w:val="0"/>
          <w:sz w:val="32"/>
          <w:szCs w:val="32"/>
          <w:lang w:val="en-US" w:eastAsia="zh-CN"/>
        </w:rPr>
        <w:t>89.90</w:t>
      </w:r>
      <w:r>
        <w:rPr>
          <w:rFonts w:hint="eastAsia" w:ascii="TimesNewRoman" w:hAnsi="TimesNewRoman" w:eastAsia="仿宋_GB2312" w:cs="TimesNewRoman"/>
          <w:kern w:val="0"/>
          <w:sz w:val="32"/>
          <w:szCs w:val="32"/>
        </w:rPr>
        <w:t>%；住房保障支出128.5</w:t>
      </w: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1.34</w:t>
      </w:r>
      <w:r>
        <w:rPr>
          <w:rFonts w:hint="eastAsia" w:ascii="TimesNewRoman" w:hAnsi="TimesNewRoman" w:eastAsia="仿宋_GB2312" w:cs="TimesNewRoman"/>
          <w:kern w:val="0"/>
          <w:sz w:val="32"/>
          <w:szCs w:val="32"/>
        </w:rPr>
        <w:t>%。</w:t>
      </w:r>
    </w:p>
    <w:p>
      <w:pPr>
        <w:pStyle w:val="9"/>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、社会保障和就业支出（类）人力资源和社会保障管理事务（款）行政运行（项）2024年预算4.22万元，比2023年预算减少</w:t>
      </w:r>
      <w:r>
        <w:rPr>
          <w:rFonts w:hint="eastAsia" w:ascii="TimesNewRoman" w:hAnsi="TimesNewRoman" w:eastAsia="仿宋_GB2312" w:cs="TimesNewRoman"/>
          <w:kern w:val="0"/>
          <w:sz w:val="32"/>
          <w:szCs w:val="32"/>
          <w:lang w:val="en-US" w:eastAsia="zh-CN"/>
        </w:rPr>
        <w:t>3.12</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42.54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人员变动，基数调整</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、社会保障和就业支出（类）行政事业单位养老支出（款）行行政单位离退休（项）2024年预算</w:t>
      </w:r>
      <w:r>
        <w:rPr>
          <w:rFonts w:hint="eastAsia" w:ascii="TimesNewRoman" w:hAnsi="TimesNewRoman" w:eastAsia="仿宋_GB2312" w:cs="TimesNewRoman"/>
          <w:kern w:val="0"/>
          <w:sz w:val="32"/>
          <w:szCs w:val="32"/>
          <w:lang w:val="en-US" w:eastAsia="zh-CN"/>
        </w:rPr>
        <w:t>563.00</w:t>
      </w:r>
      <w:r>
        <w:rPr>
          <w:rFonts w:hint="eastAsia" w:ascii="TimesNewRoman" w:hAnsi="TimesNewRoman" w:eastAsia="仿宋_GB2312" w:cs="TimesNewRoman"/>
          <w:kern w:val="0"/>
          <w:sz w:val="32"/>
          <w:szCs w:val="32"/>
        </w:rPr>
        <w:t>万元，比2023年预算</w:t>
      </w:r>
      <w:r>
        <w:rPr>
          <w:rFonts w:hint="eastAsia" w:ascii="TimesNewRoman" w:hAnsi="TimesNewRoman" w:eastAsia="仿宋_GB2312" w:cs="TimesNewRoman"/>
          <w:kern w:val="0"/>
          <w:sz w:val="32"/>
          <w:szCs w:val="32"/>
          <w:lang w:val="en-US" w:eastAsia="zh-CN"/>
        </w:rPr>
        <w:t>增加</w:t>
      </w:r>
      <w:r>
        <w:rPr>
          <w:rFonts w:hint="eastAsia" w:ascii="TimesNewRoman" w:hAnsi="TimesNewRoman" w:eastAsia="仿宋_GB2312" w:cs="TimesNewRoman"/>
          <w:kern w:val="0"/>
          <w:sz w:val="32"/>
          <w:szCs w:val="32"/>
        </w:rPr>
        <w:t>154.66万元，</w:t>
      </w:r>
      <w:r>
        <w:rPr>
          <w:rFonts w:hint="eastAsia" w:ascii="TimesNewRoman" w:hAnsi="TimesNewRoman" w:eastAsia="仿宋_GB2312" w:cs="TimesNewRoman"/>
          <w:kern w:val="0"/>
          <w:sz w:val="32"/>
          <w:szCs w:val="32"/>
          <w:lang w:val="en-US" w:eastAsia="zh-CN"/>
        </w:rPr>
        <w:t>增长37.88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增加了提租补贴预算，功能科目调整，离退休人员经费2023年预算在2150101行政运行中核算，2024年度在2080501行政单位离退休中核算</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、社会保障和就业支出（类）行政事业单位养老支出（款）机关事业单位基本养老保险缴费支出（项）2024年预算124.3</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8.08</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6.11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人员变动，基数调整</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highlight w:val="none"/>
          <w:lang w:val="en-US" w:eastAsia="zh-CN"/>
        </w:rPr>
        <w:t>4</w:t>
      </w:r>
      <w:r>
        <w:rPr>
          <w:rFonts w:hint="eastAsia" w:ascii="TimesNewRoman" w:hAnsi="TimesNewRoman" w:eastAsia="仿宋_GB2312" w:cs="TimesNewRoman"/>
          <w:kern w:val="0"/>
          <w:sz w:val="32"/>
          <w:szCs w:val="32"/>
          <w:highlight w:val="none"/>
        </w:rPr>
        <w:t>、社会保障和就业支出（类）行政事业单位养老支出（款）机关事业单位职业年金缴费支出（项）2024年预算10.05万元，比2023年预算减少0.43万元，下降4.14%，</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、社会保障和就业支出（类）其他社会保障和就业支出（款）其他社会保障和就业支出（项）2024年预算61.41万元，比2023年预算</w:t>
      </w:r>
      <w:r>
        <w:rPr>
          <w:rFonts w:hint="eastAsia" w:ascii="TimesNewRoman" w:hAnsi="TimesNewRoman" w:eastAsia="仿宋_GB2312" w:cs="TimesNewRoman"/>
          <w:kern w:val="0"/>
          <w:sz w:val="32"/>
          <w:szCs w:val="32"/>
          <w:lang w:val="en-US" w:eastAsia="zh-CN"/>
        </w:rPr>
        <w:t>增加60.19</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val="en-US" w:eastAsia="zh-CN"/>
        </w:rPr>
        <w:t>增长4,905.03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功能科目调整，2023年度对其他个人和家庭的补助在2150201行政运行中核算</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、卫生健康支出（类）行政事业单位医疗（款）行政单位医疗（项）2024年预算34.00万元，比2023年预算减少2.29万元，下降</w:t>
      </w:r>
      <w:r>
        <w:rPr>
          <w:rFonts w:hint="eastAsia" w:ascii="TimesNewRoman" w:hAnsi="TimesNewRoman" w:eastAsia="仿宋_GB2312" w:cs="TimesNewRoman"/>
          <w:kern w:val="0"/>
          <w:sz w:val="32"/>
          <w:szCs w:val="32"/>
          <w:lang w:val="en-US" w:eastAsia="zh-CN"/>
        </w:rPr>
        <w:t>6.31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人员变动，基数调整</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、卫生健康支出（类）行政事业单位医疗（款）公务员医疗补助（项）2024年预算40.40万元，比2023年预算</w:t>
      </w:r>
      <w:r>
        <w:rPr>
          <w:rFonts w:hint="eastAsia" w:ascii="TimesNewRoman" w:hAnsi="TimesNewRoman" w:eastAsia="仿宋_GB2312" w:cs="TimesNewRoman"/>
          <w:kern w:val="0"/>
          <w:sz w:val="32"/>
          <w:szCs w:val="32"/>
          <w:lang w:val="en-US" w:eastAsia="zh-CN"/>
        </w:rPr>
        <w:t>增加0.49</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val="en-US" w:eastAsia="zh-CN"/>
        </w:rPr>
        <w:t>增长1.23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人员变动，基数调整</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、资源勘探工业信息等支出（类）资源勘探开发（款）行政运行（项）2024年预算54.45万元，比2023年预算减少</w:t>
      </w:r>
      <w:r>
        <w:rPr>
          <w:rFonts w:hint="eastAsia" w:ascii="TimesNewRoman" w:hAnsi="TimesNewRoman" w:eastAsia="仿宋_GB2312" w:cs="TimesNewRoman"/>
          <w:kern w:val="0"/>
          <w:sz w:val="32"/>
          <w:szCs w:val="32"/>
          <w:lang w:val="en-US" w:eastAsia="zh-CN"/>
        </w:rPr>
        <w:t>140.42</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72.06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人员变动，功能科目调整，离退休人员经费2023年预算在2150101行政运行中核算，2024年度在2080501行政单位离退休中核算</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、资源勘探工业信息等支出（类）制造业（款）行政运行（项）2024年预算158.40万元，比2023年预算</w:t>
      </w:r>
      <w:r>
        <w:rPr>
          <w:rFonts w:hint="eastAsia" w:ascii="TimesNewRoman" w:hAnsi="TimesNewRoman" w:eastAsia="仿宋_GB2312" w:cs="TimesNewRoman"/>
          <w:kern w:val="0"/>
          <w:sz w:val="32"/>
          <w:szCs w:val="32"/>
          <w:lang w:val="en-US" w:eastAsia="zh-CN"/>
        </w:rPr>
        <w:t>减少</w:t>
      </w:r>
      <w:r>
        <w:rPr>
          <w:rFonts w:hint="eastAsia" w:ascii="TimesNewRoman" w:hAnsi="TimesNewRoman" w:eastAsia="仿宋_GB2312" w:cs="TimesNewRoman"/>
          <w:kern w:val="0"/>
          <w:sz w:val="32"/>
          <w:szCs w:val="32"/>
        </w:rPr>
        <w:t>70.12万元，</w:t>
      </w:r>
      <w:r>
        <w:rPr>
          <w:rFonts w:hint="eastAsia" w:ascii="TimesNewRoman" w:hAnsi="TimesNewRoman" w:eastAsia="仿宋_GB2312" w:cs="TimesNewRoman"/>
          <w:kern w:val="0"/>
          <w:sz w:val="32"/>
          <w:szCs w:val="32"/>
          <w:lang w:val="en-US" w:eastAsia="zh-CN"/>
        </w:rPr>
        <w:t>降低</w:t>
      </w:r>
      <w:r>
        <w:rPr>
          <w:rFonts w:hint="eastAsia" w:ascii="TimesNewRoman" w:hAnsi="TimesNewRoman" w:eastAsia="仿宋_GB2312" w:cs="TimesNewRoman"/>
          <w:kern w:val="0"/>
          <w:sz w:val="32"/>
          <w:szCs w:val="32"/>
        </w:rPr>
        <w:t>30.68%，原因主要是</w:t>
      </w:r>
      <w:r>
        <w:rPr>
          <w:rFonts w:hint="eastAsia" w:ascii="TimesNewRoman" w:hAnsi="TimesNewRoman" w:eastAsia="仿宋_GB2312" w:cs="TimesNewRoman"/>
          <w:kern w:val="0"/>
          <w:sz w:val="32"/>
          <w:szCs w:val="32"/>
          <w:lang w:val="en-US" w:eastAsia="zh-CN"/>
        </w:rPr>
        <w:t>功能科目调整，2024年度对其他个人和家庭的补助在2089999其他社会保障和就业支出</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10</w:t>
      </w:r>
      <w:r>
        <w:rPr>
          <w:rFonts w:hint="eastAsia" w:ascii="TimesNewRoman" w:hAnsi="TimesNewRoman" w:eastAsia="仿宋_GB2312" w:cs="TimesNewRoman"/>
          <w:kern w:val="0"/>
          <w:sz w:val="32"/>
          <w:szCs w:val="32"/>
        </w:rPr>
        <w:t>、资源勘探工业信息等支出（类）制造业（款）一般行政管理事务（项）2024年预算5.03万元，比2023年预算增加5.03万元，原因主要是</w:t>
      </w:r>
      <w:r>
        <w:rPr>
          <w:rFonts w:hint="eastAsia" w:ascii="TimesNewRoman" w:hAnsi="TimesNewRoman" w:eastAsia="仿宋_GB2312" w:cs="TimesNewRoman"/>
          <w:kern w:val="0"/>
          <w:sz w:val="32"/>
          <w:szCs w:val="32"/>
          <w:lang w:val="en-US" w:eastAsia="zh-CN"/>
        </w:rPr>
        <w:t>增加了提租补贴预算。</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11</w:t>
      </w:r>
      <w:r>
        <w:rPr>
          <w:rFonts w:hint="eastAsia" w:ascii="TimesNewRoman" w:hAnsi="TimesNewRoman" w:eastAsia="仿宋_GB2312" w:cs="TimesNewRoman"/>
          <w:kern w:val="0"/>
          <w:sz w:val="32"/>
          <w:szCs w:val="32"/>
        </w:rPr>
        <w:t>、资源勘探工业信息等支出（类）工业和信息产业监管（款）行政运行（项）2024年预算498.31万元，比2023年预算减少</w:t>
      </w:r>
      <w:r>
        <w:rPr>
          <w:rFonts w:hint="eastAsia" w:ascii="TimesNewRoman" w:hAnsi="TimesNewRoman" w:eastAsia="仿宋_GB2312" w:cs="TimesNewRoman"/>
          <w:kern w:val="0"/>
          <w:sz w:val="32"/>
          <w:szCs w:val="32"/>
          <w:lang w:val="en-US" w:eastAsia="zh-CN"/>
        </w:rPr>
        <w:t>48.66</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8.90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12</w:t>
      </w:r>
      <w:r>
        <w:rPr>
          <w:rFonts w:hint="eastAsia" w:ascii="TimesNewRoman" w:hAnsi="TimesNewRoman" w:eastAsia="仿宋_GB2312" w:cs="TimesNewRoman"/>
          <w:kern w:val="0"/>
          <w:sz w:val="32"/>
          <w:szCs w:val="32"/>
        </w:rPr>
        <w:t>、资源勘探工业信息等支出（类）工业和信息产业监管（款）一般行政管理事务（项）2024年预算7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w:t>
      </w: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422.75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5.09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减少项目支出</w:t>
      </w:r>
      <w:r>
        <w:rPr>
          <w:rFonts w:hint="eastAsia" w:ascii="TimesNewRoman" w:hAnsi="TimesNewRoman" w:eastAsia="仿宋_GB2312" w:cs="TimesNewRoman"/>
          <w:kern w:val="0"/>
          <w:sz w:val="32"/>
          <w:szCs w:val="32"/>
        </w:rPr>
        <w:t>2023年支持制造业提质扩量增效奖补资金</w:t>
      </w:r>
      <w:r>
        <w:rPr>
          <w:rFonts w:hint="eastAsia" w:ascii="TimesNewRoman" w:hAnsi="TimesNewRoman" w:eastAsia="仿宋_GB2312" w:cs="TimesNewRoman"/>
          <w:kern w:val="0"/>
          <w:sz w:val="32"/>
          <w:szCs w:val="32"/>
          <w:lang w:eastAsia="zh-CN"/>
        </w:rPr>
        <w:t>、企业离休人员管理服务费</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13</w:t>
      </w:r>
      <w:r>
        <w:rPr>
          <w:rFonts w:hint="eastAsia" w:ascii="TimesNewRoman" w:hAnsi="TimesNewRoman" w:eastAsia="仿宋_GB2312" w:cs="TimesNewRoman"/>
          <w:kern w:val="0"/>
          <w:sz w:val="32"/>
          <w:szCs w:val="32"/>
        </w:rPr>
        <w:t>、住房保障支出（类）住房改革支出（款）住房公积金（项）2024年预算90.7</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0.54</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0.60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14</w:t>
      </w:r>
      <w:r>
        <w:rPr>
          <w:rFonts w:hint="eastAsia" w:ascii="TimesNewRoman" w:hAnsi="TimesNewRoman" w:eastAsia="仿宋_GB2312" w:cs="TimesNewRoman"/>
          <w:kern w:val="0"/>
          <w:sz w:val="32"/>
          <w:szCs w:val="32"/>
        </w:rPr>
        <w:t>、住房保障支出（类）住房改革支出（款）购房补贴（项）2024年预算37.8</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0.23</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0.60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人员变动</w:t>
      </w:r>
      <w:r>
        <w:rPr>
          <w:rFonts w:hint="eastAsia" w:ascii="TimesNewRoman" w:hAnsi="TimesNewRoman" w:eastAsia="仿宋_GB2312" w:cs="TimesNewRoman"/>
          <w:kern w:val="0"/>
          <w:sz w:val="32"/>
          <w:szCs w:val="32"/>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六、关于2024年一般公共预算基本支出表的说明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2024年一般公共预算基本支出1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682.1</w:t>
      </w:r>
      <w:r>
        <w:rPr>
          <w:rFonts w:hint="eastAsia" w:ascii="TimesNewRoman" w:hAnsi="TimesNewRoman" w:eastAsia="仿宋_GB2312" w:cs="TimesNewRoman"/>
          <w:sz w:val="32"/>
          <w:szCs w:val="32"/>
        </w:rPr>
        <w:t>4</w:t>
      </w:r>
      <w:r>
        <w:rPr>
          <w:rFonts w:hint="eastAsia" w:ascii="TimesNewRoman" w:hAnsi="TimesNewRoman" w:eastAsia="仿宋_GB2312" w:cs="TimesNewRoman"/>
          <w:kern w:val="0"/>
          <w:sz w:val="32"/>
          <w:szCs w:val="32"/>
        </w:rPr>
        <w:t>万元，其中，人员经费1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576.28万元，公用经费105.86万元。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576.28</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主要包括:基本工资、津贴补贴、奖金、绩效工资、机关事业单位基本养老保险费、职业年金缴费、职工基本医疗保险缴费、公务员医疗补助缴费、其他社会保障缴费、住房公积金、办公费</w:t>
      </w:r>
      <w:r>
        <w:rPr>
          <w:rFonts w:hint="eastAsia" w:ascii="TimesNewRoman" w:hAnsi="TimesNewRoman" w:eastAsia="仿宋_GB2312" w:cs="TimesNewRoman"/>
          <w:kern w:val="0"/>
          <w:sz w:val="32"/>
          <w:szCs w:val="32"/>
          <w:lang w:eastAsia="zh-CN"/>
        </w:rPr>
        <w:t>、工会经费、</w:t>
      </w:r>
      <w:r>
        <w:rPr>
          <w:rFonts w:hint="eastAsia" w:ascii="TimesNewRoman" w:hAnsi="TimesNewRoman" w:eastAsia="仿宋_GB2312" w:cs="TimesNewRoman"/>
          <w:kern w:val="0"/>
          <w:sz w:val="32"/>
          <w:szCs w:val="32"/>
          <w:lang w:val="en-US" w:eastAsia="zh-CN"/>
        </w:rPr>
        <w:t>福利费、</w:t>
      </w:r>
      <w:r>
        <w:rPr>
          <w:rFonts w:hint="eastAsia" w:ascii="TimesNewRoman" w:hAnsi="TimesNewRoman" w:eastAsia="仿宋_GB2312" w:cs="TimesNewRoman"/>
          <w:kern w:val="0"/>
          <w:sz w:val="32"/>
          <w:szCs w:val="32"/>
        </w:rPr>
        <w:t>其他商品和服务支出、离休费、退休费、生活补助、医疗费补助、对其他个人和家庭的补助支出。</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kern w:val="0"/>
          <w:sz w:val="32"/>
          <w:szCs w:val="32"/>
        </w:rPr>
        <w:t>105.86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主要包括：办公费</w:t>
      </w:r>
      <w:r>
        <w:rPr>
          <w:rFonts w:hint="eastAsia" w:ascii="TimesNewRoman" w:hAnsi="TimesNewRoman" w:eastAsia="仿宋_GB2312" w:cs="TimesNewRoman"/>
          <w:kern w:val="0"/>
          <w:sz w:val="32"/>
          <w:szCs w:val="32"/>
          <w:lang w:eastAsia="zh-CN"/>
        </w:rPr>
        <w:t>、差旅费、维修（护）费、公务接待费、公务用车运行维护费、</w:t>
      </w:r>
      <w:r>
        <w:rPr>
          <w:rFonts w:hint="eastAsia" w:ascii="TimesNewRoman" w:hAnsi="TimesNewRoman" w:eastAsia="仿宋_GB2312" w:cs="TimesNewRoman"/>
          <w:kern w:val="0"/>
          <w:sz w:val="32"/>
          <w:szCs w:val="32"/>
        </w:rPr>
        <w:t>其他交通费用、其他商品服务支出。</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七、关于2024年政府性基金预算支出表的说明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2024年没有政府性基金预算拨款收入，也没有使用政府性基金预算拨款安排的支出。</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八、关于2024年国有资本经营预算支出表的说明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2024年没有国有资本经营预算拨款收入，也没有使用国有资本经营预算拨款安排的支出。</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九、关于2024年项目支出表的说明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2024年预算共安排项目支出7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w:t>
      </w: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422.75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5.36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减少项目支出</w:t>
      </w:r>
      <w:r>
        <w:rPr>
          <w:rFonts w:hint="eastAsia" w:ascii="TimesNewRoman" w:hAnsi="TimesNewRoman" w:eastAsia="仿宋_GB2312" w:cs="TimesNewRoman"/>
          <w:kern w:val="0"/>
          <w:sz w:val="32"/>
          <w:szCs w:val="32"/>
        </w:rPr>
        <w:t>2023年支持制造业提质扩量增效奖补资金。主企业离休人员管理服务费要包括：本年财政拨款安排7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w:t>
      </w: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万元（其中，一般公共预算拨款安排7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w:t>
      </w: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十、关于2024年政府采购支出表的说明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2024年预算安排政府采购支出</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万元，原因主要是中小企业发展促进中心专项经费</w:t>
      </w:r>
      <w:r>
        <w:rPr>
          <w:rFonts w:hint="eastAsia" w:ascii="TimesNewRoman" w:hAnsi="TimesNewRoman" w:eastAsia="仿宋_GB2312" w:cs="TimesNewRoman"/>
          <w:kern w:val="0"/>
          <w:sz w:val="32"/>
          <w:szCs w:val="32"/>
          <w:lang w:val="en-US" w:eastAsia="zh-CN"/>
        </w:rPr>
        <w:t>购置打印机款</w:t>
      </w:r>
      <w:r>
        <w:rPr>
          <w:rFonts w:hint="eastAsia" w:ascii="TimesNewRoman" w:hAnsi="TimesNewRoman" w:eastAsia="仿宋_GB2312" w:cs="TimesNewRoman"/>
          <w:kern w:val="0"/>
          <w:sz w:val="32"/>
          <w:szCs w:val="32"/>
        </w:rPr>
        <w:t>。其中，一般公共预算安排</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100.00</w:t>
      </w:r>
      <w:r>
        <w:rPr>
          <w:rFonts w:hint="eastAsia" w:ascii="TimesNewRoman" w:hAnsi="TimesNewRoman" w:eastAsia="仿宋_GB2312" w:cs="TimesNewRoman"/>
          <w:kern w:val="0"/>
          <w:sz w:val="32"/>
          <w:szCs w:val="32"/>
        </w:rPr>
        <w:t>%；政府性基金预算安排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十一、关于2024年政府购买服务支出表的说明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2024年没有安排政府购买服务支出。</w:t>
      </w:r>
    </w:p>
    <w:p>
      <w:pPr>
        <w:pStyle w:val="9"/>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1、“工业经济和信息化工作运行经费”项目。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贯彻执行国家有关经济信息化的法律法规和规章。汽车相关地方性法规规章草案拟订并组织实施经济和信息化的发展规划，推进产业结构战略性调整和优化升级，推进信息化和工业化融合发展。制定并组织实施工业信息化相关行业的规定计划和产业政策提出优化产业布局结构的政策建议一定行业技术规范与行业标准并组织实施指导行业质量管理和安全生产管理工作。检测研判经济运行态势，整理分析和发布经济信息，提出相关政策建议，协调经济运行中的重大问题。承担办理工作。</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（2）立项依据。部门职能需要，根据中共安徽省委办公厅，安徽省人民政府办公厅关于印发淮北市机构改革方案的通知。2019、2号。和中共淮北市委淮北市人民政府关于市及机构改革的实施意见，淮发2019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2号</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贯彻执行国家有关经济信息化的法律法规和规章。汽车相关地方性法规规章草案拟订并组织实施经济和信息化的发展规划，推进产业结构战略性调整和优化升级，推进信息化和工业化融合发展。制定并组织实施工业信息化相关行业的规定计划和产业政策提出优化产业布局结构的政策建议一定行业技术规范与行业标准并组织实施指导行业质量管理和安全生产管理工作。检测研判经济运行态势，整理分析和发布经济信息，提出相关政策建议，协调经济运行中的重大问题。承担办理工作。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年安排该项目办公费</w:t>
      </w:r>
      <w:r>
        <w:rPr>
          <w:rFonts w:hint="eastAsia" w:ascii="TimesNewRoman" w:hAnsi="TimesNewRoman" w:eastAsia="仿宋_GB2312" w:cs="TimesNewRoman"/>
          <w:kern w:val="0"/>
          <w:sz w:val="32"/>
          <w:szCs w:val="32"/>
          <w:lang w:val="en-US" w:eastAsia="zh-CN"/>
        </w:rPr>
        <w:t>9.50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印刷费9</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邮电费8.00万元、</w:t>
      </w:r>
      <w:r>
        <w:rPr>
          <w:rFonts w:hint="eastAsia" w:ascii="TimesNewRoman" w:hAnsi="TimesNewRoman" w:eastAsia="仿宋_GB2312" w:cs="TimesNewRoman"/>
          <w:kern w:val="0"/>
          <w:sz w:val="32"/>
          <w:szCs w:val="32"/>
        </w:rPr>
        <w:t>差旅费</w:t>
      </w:r>
      <w:r>
        <w:rPr>
          <w:rFonts w:hint="eastAsia" w:ascii="TimesNewRoman" w:hAnsi="TimesNewRoman" w:eastAsia="仿宋_GB2312" w:cs="TimesNewRoman"/>
          <w:kern w:val="0"/>
          <w:sz w:val="32"/>
          <w:szCs w:val="32"/>
          <w:lang w:val="en-US" w:eastAsia="zh-CN"/>
        </w:rPr>
        <w:t>21.00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会议费</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培训费</w:t>
      </w:r>
      <w:r>
        <w:rPr>
          <w:rFonts w:hint="eastAsia" w:ascii="TimesNewRoman" w:hAnsi="TimesNewRoman" w:eastAsia="仿宋_GB2312" w:cs="TimesNewRoman"/>
          <w:kern w:val="0"/>
          <w:sz w:val="32"/>
          <w:szCs w:val="32"/>
          <w:lang w:val="en-US" w:eastAsia="zh-CN"/>
        </w:rPr>
        <w:t>5.00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公务接待费5.5</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lang w:val="en-US" w:eastAsia="zh-CN"/>
        </w:rPr>
        <w:t>劳务费2.00</w:t>
      </w:r>
      <w:r>
        <w:rPr>
          <w:rFonts w:hint="eastAsia" w:ascii="TimesNewRoman" w:hAnsi="TimesNewRoman" w:eastAsia="仿宋_GB2312" w:cs="TimesNewRoman"/>
          <w:kern w:val="0"/>
          <w:sz w:val="32"/>
          <w:szCs w:val="32"/>
        </w:rPr>
        <w:t>万元。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63.00万元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2、“世界制造业大会经费”项目。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（1）项目概述。安徽省政府自2018年开始，连续成功举办四届世界制造业大会，成为安徽省展示制造业发展成就的一张重要名片。各市需积极参与项目签约、客商邀请、展览展示、平行论坛等重要活动。</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世界制造业大会执委会办公室关于报送世界制造业大会市级牵头单位相关信息的通知（世制执办字〔2022〕1号）</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安徽省政府自2018年开始，连续成功举办四届世界制造业大会，成为安徽省展示制造业发展成就的一张重要名片。各市需积极参与项目签约、客商邀请、展览展示、平行论坛等重要活动</w:t>
      </w:r>
      <w:r>
        <w:rPr>
          <w:rFonts w:hint="eastAsia" w:ascii="仿宋_GB2312" w:eastAsia="仿宋_GB2312"/>
          <w:sz w:val="32"/>
          <w:szCs w:val="32"/>
          <w:lang w:eastAsia="zh-CN"/>
        </w:rPr>
        <w:t>。</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20.00万元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、“2023年支持制造业提质扩量增效奖补资金”项目。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（1）项目概述。2023年工业经济、互联网及民营经济发展资金</w:t>
      </w:r>
      <w:r>
        <w:rPr>
          <w:rFonts w:hint="eastAsia" w:ascii="TimesNewRoman" w:hAnsi="TimesNewRoman" w:eastAsia="仿宋_GB2312" w:cs="TimesNewRoman"/>
          <w:kern w:val="0"/>
          <w:sz w:val="32"/>
          <w:szCs w:val="32"/>
          <w:lang w:eastAsia="zh-CN"/>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落实《淮北市人民政府关于印发支持工业经济高质量转型发展若干政策的通知》（淮政〔2020〕22号）</w:t>
      </w:r>
      <w:r>
        <w:rPr>
          <w:rFonts w:hint="eastAsia" w:ascii="仿宋_GB2312" w:eastAsia="仿宋_GB2312"/>
          <w:sz w:val="32"/>
          <w:szCs w:val="32"/>
          <w:lang w:eastAsia="zh-CN"/>
        </w:rPr>
        <w:t>、</w:t>
      </w:r>
      <w:r>
        <w:rPr>
          <w:rFonts w:hint="eastAsia" w:ascii="仿宋_GB2312" w:eastAsia="仿宋_GB2312"/>
          <w:sz w:val="32"/>
          <w:szCs w:val="32"/>
        </w:rPr>
        <w:t>《淮北市人民政府办公室关于印发支持工业互联网发展若干政策和淮北市工业互联网创新发展行动计划的通知》（淮政办秘〔2021〕46号）、《中共淮北市委淮北市人民政府关于进一步激发民营企业创业热情成就企业家创意创新创造推进民营经济高质量发展的实施细则》（淮发〔2021〕16号）文件精神，市经信局、市财政局、市市场监督管理局联合制定了《2022年支持工业经济转型和工业互联网发展、促进民营经济发展若干政策实施细则》</w:t>
      </w:r>
      <w:r>
        <w:rPr>
          <w:rFonts w:hint="eastAsia" w:ascii="仿宋_GB2312" w:eastAsia="仿宋_GB2312"/>
          <w:sz w:val="32"/>
          <w:szCs w:val="32"/>
          <w:lang w:eastAsia="zh-CN"/>
        </w:rPr>
        <w:t>（</w:t>
      </w:r>
      <w:r>
        <w:rPr>
          <w:rFonts w:hint="eastAsia" w:ascii="仿宋_GB2312" w:eastAsia="仿宋_GB2312"/>
          <w:sz w:val="32"/>
          <w:szCs w:val="32"/>
        </w:rPr>
        <w:t>淮经信督导〔2022〕27号</w:t>
      </w:r>
      <w:r>
        <w:rPr>
          <w:rFonts w:hint="eastAsia" w:ascii="仿宋_GB2312" w:eastAsia="仿宋_GB2312"/>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仿宋_GB2312" w:hAnsi="Times New Roman" w:eastAsia="仿宋_GB2312" w:cs="Times New Roman"/>
          <w:sz w:val="32"/>
          <w:szCs w:val="32"/>
          <w:lang w:val="en-US" w:eastAsia="zh-CN"/>
        </w:rPr>
        <w:t>一是支持四化改造，二是支持项目建设，三是支持企业做大做强，四是支持专精特新发展。</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7,600.00万元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、“办公大楼劳务经费”项目。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（1）项目概述。办公大楼保洁劳务费。</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（2）立项依据。按照市政府统一安排,我委于2017年12搬至市招商大厦办公</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办公用房为6层、10-11层（其中6层8间），水电及保洁及网络使用费均由我委自付。招商大厦每层楼保洁劳务费为2500元，月需保洁劳务费为3500元/月，全年计4.2</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（5）项目内容。商大厦办公10-11层。招商大厦每层楼保洁劳务费为2500元，月需保洁劳务费为3500元/月，全年计4.2</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（6）年度预算安排。4.2</w:t>
      </w:r>
      <w:r>
        <w:rPr>
          <w:rFonts w:hint="eastAsia" w:ascii="TimesNewRoman" w:hAnsi="TimesNewRoman" w:eastAsia="仿宋_GB2312" w:cs="TimesNewRoman"/>
          <w:kern w:val="0"/>
          <w:sz w:val="32"/>
          <w:szCs w:val="32"/>
          <w:lang w:val="en-US" w:eastAsia="zh-CN"/>
        </w:rPr>
        <w:t>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、“工业经济发展第三方项目服务费”项目。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委托第三方机构专项资金绩效评价，降低成本第三方评估，认定市级专精特新企业、市级优质小微企业、委托第三方审核市优秀小微企业。新型工业化政策对企业技术改造，委托第三方机构，对有关项目进行评审。工业节能诊断服务费、绿色工厂专家评审、工业企业能源专家评审、全市工业污染物控制实施项目评估。</w:t>
      </w:r>
      <w:r>
        <w:rPr>
          <w:rFonts w:hint="eastAsia" w:ascii="TimesNewRoman" w:hAnsi="TimesNewRoman" w:eastAsia="仿宋_GB2312" w:cs="TimesNewRoman"/>
          <w:kern w:val="0"/>
          <w:sz w:val="32"/>
          <w:szCs w:val="32"/>
          <w:lang w:val="en-US" w:eastAsia="zh-CN"/>
        </w:rPr>
        <w:t>劳务费5.00万元，业务委托费15.00万元</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促进新型工业若干政策（暂行）》、《淮北市促进新型工业化发展专项资金使用管理暂行办法》、《淮北市认定企业技术中心管理办法》、《淮北市专精特新中小企业认定标准和程序》、《淮北市优质小微企业认定管理办法》、《工业节能管理办法》、安徽省工业固定资产投资项目节能评估和审查办法》</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委托第三方机构专项资金绩效评价，降低成本第三方评估，认定市级专精特新企业、市级优质小微企业、委托第三方审核市优秀小微企业。新型工业化政策对企业技术改造，委托第三方机构，对有关项目进行评审。工业节能诊断服务费、绿色工厂专家评审、工业企业能源专家评审、全市工业污染物控制实施项目评估。</w:t>
      </w:r>
      <w:r>
        <w:rPr>
          <w:rFonts w:hint="eastAsia" w:ascii="TimesNewRoman" w:hAnsi="TimesNewRoman" w:eastAsia="仿宋_GB2312" w:cs="TimesNewRoman"/>
          <w:kern w:val="0"/>
          <w:sz w:val="32"/>
          <w:szCs w:val="32"/>
          <w:lang w:val="en-US" w:eastAsia="zh-CN"/>
        </w:rPr>
        <w:t>劳务费5.00万元，业务委托费15.00万元</w:t>
      </w:r>
    </w:p>
    <w:p>
      <w:pPr>
        <w:ind w:firstLine="640" w:firstLineChars="200"/>
        <w:rPr>
          <w:rFonts w:hint="default"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20.00万元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、“市级食盐储备补助资金”项目。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为落实国家及省关于加强应急物资储备安全管理工作的部署要求，构建多层级食盐储备体系，更好发挥食盐储备在调节稳定市场、应对突发事件等方面的重要作用，构建市级食盐储备库。市级食盐储备贷款贴息、管理费用补贴。</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（2）立项依据。《关于进一步加强食盐储备管理工作的通知》（皖经信盐食函〔2022〕115号），《关于印发&lt;淮北市市级食盐储备管理暂行办法&gt;的通知》（淮经信消费〔2023〕39号）</w:t>
      </w:r>
      <w:r>
        <w:rPr>
          <w:rFonts w:hint="eastAsia" w:ascii="TimesNewRoman" w:hAnsi="TimesNewRoman" w:eastAsia="仿宋_GB2312" w:cs="TimesNewRoman"/>
          <w:kern w:val="0"/>
          <w:sz w:val="32"/>
          <w:szCs w:val="32"/>
          <w:lang w:val="en-US"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val="en-US" w:eastAsia="zh-CN"/>
        </w:rPr>
        <w:t>对企业补助13.00万。</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13.00</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、“工程系列初中级专业技术资格评审费”项目。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（1）项目概述。强化政策引导和业务指导，为明确教育更多更为优质的高端人才，按照事实清楚定性准确，处理恰当手续完备的要求，逐级认真调查核实，提出明确意见。确保职称评审工作顺利进行。</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（2）立项依据。淮北市人力资源和社会保障局关于做好2019年度全市职称评审工作的通知淮人社秘【2019 】244号</w:t>
      </w:r>
      <w:r>
        <w:rPr>
          <w:rFonts w:hint="eastAsia" w:ascii="TimesNewRoman" w:hAnsi="TimesNewRoman" w:eastAsia="仿宋_GB2312" w:cs="TimesNewRoman"/>
          <w:kern w:val="0"/>
          <w:sz w:val="32"/>
          <w:szCs w:val="32"/>
          <w:lang w:val="en-US"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（5）项目内容。强化政策引导和业务指导，为明确教育更多更为优质的高端人才，按照事实清楚定性准确，处理恰当手续完备的要求，逐级认真调查核实，提出明确意见。确保职称评审工作顺利进行。</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（6）年度预算安排。6.00万元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、“节能监察专项经费”项目。</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（1）项目概述。市节能监察中心人员工资、社会保险列入市政府购买服务项目支出</w:t>
      </w:r>
      <w:r>
        <w:rPr>
          <w:rFonts w:hint="eastAsia" w:ascii="TimesNewRoman" w:hAnsi="TimesNewRoman" w:eastAsia="仿宋_GB2312" w:cs="TimesNewRoman"/>
          <w:kern w:val="0"/>
          <w:sz w:val="32"/>
          <w:szCs w:val="32"/>
          <w:lang w:eastAsia="zh-CN"/>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（2）立项依据。根据淮北市机构编制委员会淮编[2016]28号文件“市节能监察中心人员工资、社会保险列入市政府购买服务项目支出</w:t>
      </w:r>
      <w:r>
        <w:rPr>
          <w:rFonts w:hint="eastAsia" w:ascii="TimesNewRoman" w:hAnsi="TimesNewRoman" w:eastAsia="仿宋_GB2312" w:cs="TimesNewRoman"/>
          <w:kern w:val="0"/>
          <w:sz w:val="32"/>
          <w:szCs w:val="32"/>
          <w:lang w:val="en-US"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根据淮北市机构编制委员会淮编[2016]28号文件，淮北市节能监察中心编制9人，现实有7人，按照淮北市人力资源和社会保障局审批工资单，2024年工资、社保及公务费预算如下:</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一、工资总额 845</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537</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元，其中：</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1、岗位工资13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670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元/月×12月=164</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040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2、薪级工资21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173</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元/月×12月=254</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076</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3、绩效工资233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237</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4、政府基础绩效奖16</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182元/月×12月=194</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184</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 xml:space="preserve">元              </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二、社保费、医保费281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889</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元，其中：</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1、社保费：工资总额845</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537×24.7%（养老16%+失业0.5%+工伤0.2%+职业年金8%）=208</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848</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2、医保费:工资总额845</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537</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×8.4%+大病医保14人（含退休7人）</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×144=73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041</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三、公务费119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元，其中:</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1、车辆运行费（车辆）35</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2、人员综合定额7（人）×12000元=84</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四、提租补贴30,152.00元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预算总额：845</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537</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bookmarkStart w:id="0" w:name="_GoBack"/>
      <w:bookmarkEnd w:id="0"/>
      <w:r>
        <w:rPr>
          <w:rFonts w:hint="eastAsia" w:ascii="TimesNewRoman" w:hAnsi="TimesNewRoman" w:eastAsia="仿宋_GB2312" w:cs="TimesNewRoman"/>
          <w:kern w:val="0"/>
          <w:sz w:val="32"/>
          <w:szCs w:val="32"/>
        </w:rPr>
        <w:t>281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889</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元+119</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r>
        <w:rPr>
          <w:rFonts w:hint="eastAsia" w:ascii="TimesNewRoman" w:hAnsi="TimesNewRoman" w:eastAsia="仿宋_GB2312" w:cs="TimesNewRoman"/>
          <w:kern w:val="0"/>
          <w:sz w:val="32"/>
          <w:szCs w:val="32"/>
          <w:lang w:val="en-US" w:eastAsia="zh-CN"/>
        </w:rPr>
        <w:t>+30,152.00</w:t>
      </w: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2</w:t>
      </w:r>
      <w:r>
        <w:rPr>
          <w:rFonts w:hint="eastAsia" w:ascii="TimesNewRoman" w:hAnsi="TimesNewRoman" w:eastAsia="仿宋_GB2312" w:cs="TimesNewRoman"/>
          <w:kern w:val="0"/>
          <w:sz w:val="32"/>
          <w:szCs w:val="32"/>
          <w:lang w:val="en-US" w:eastAsia="zh-CN"/>
        </w:rPr>
        <w:t>76,578.00</w:t>
      </w:r>
      <w:r>
        <w:rPr>
          <w:rFonts w:hint="eastAsia" w:ascii="TimesNewRoman" w:hAnsi="TimesNewRoman" w:eastAsia="仿宋_GB2312" w:cs="TimesNewRoman"/>
          <w:kern w:val="0"/>
          <w:sz w:val="32"/>
          <w:szCs w:val="32"/>
        </w:rPr>
        <w:t>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127.66</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、“中小企业发展促进中心专项经费”项目。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淮北市市中小企业发展促进中心为隶属市经济和信息化局管理的正科级公益一类财政全额拨款事业单位，核定事业编制7名。中心主要职责是为全市中小企业开展信用担保、职工教育培训等相关服务。</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淮北市市中小企业发展促进中心为隶属市经济和信息化局管理的正科级公益一类财政全额拨款事业单位，核定事业编制7名。中心主要职责是为全市中小企业开展信用担保、职工教育培训等相关服务</w:t>
      </w:r>
      <w:r>
        <w:rPr>
          <w:rFonts w:hint="eastAsia" w:ascii="TimesNewRoman" w:hAnsi="TimesNewRoman" w:eastAsia="仿宋_GB2312" w:cs="TimesNewRoman"/>
          <w:kern w:val="0"/>
          <w:sz w:val="32"/>
          <w:szCs w:val="32"/>
          <w:lang w:val="en-US"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w:t>
      </w:r>
      <w:r>
        <w:rPr>
          <w:rFonts w:hint="eastAsia" w:ascii="TimesNewRoman" w:hAnsi="TimesNewRoman" w:eastAsia="仿宋_GB2312" w:cs="TimesNewRoman"/>
          <w:kern w:val="0"/>
          <w:sz w:val="32"/>
          <w:szCs w:val="32"/>
          <w:lang w:val="en-US" w:eastAsia="zh-CN"/>
        </w:rPr>
        <w:t>办公设备购置费3.00万元。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10</w:t>
      </w:r>
      <w:r>
        <w:rPr>
          <w:rFonts w:hint="eastAsia" w:ascii="TimesNewRoman" w:hAnsi="TimesNewRoman" w:eastAsia="仿宋_GB2312" w:cs="TimesNewRoman"/>
          <w:kern w:val="0"/>
          <w:sz w:val="32"/>
          <w:szCs w:val="32"/>
        </w:rPr>
        <w:t>、“办公大楼运行等工作经费”项目。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（1）项目概述。按照市政府统一安排,我委于2017年12搬至市招商大厦办公</w:t>
      </w:r>
      <w:r>
        <w:rPr>
          <w:rFonts w:hint="eastAsia" w:ascii="TimesNewRoman" w:hAnsi="TimesNewRoman" w:eastAsia="仿宋_GB2312" w:cs="TimesNewRoman"/>
          <w:kern w:val="0"/>
          <w:sz w:val="32"/>
          <w:szCs w:val="32"/>
          <w:lang w:eastAsia="zh-CN"/>
        </w:rPr>
        <w:t>，</w:t>
      </w:r>
      <w:r>
        <w:rPr>
          <w:rFonts w:hint="eastAsia" w:ascii="TimesNewRoman" w:hAnsi="TimesNewRoman" w:eastAsia="仿宋_GB2312" w:cs="TimesNewRoman"/>
          <w:kern w:val="0"/>
          <w:sz w:val="32"/>
          <w:szCs w:val="32"/>
        </w:rPr>
        <w:t>办公用房为6层、10-11层（其中6层8间），水电及保洁及网络使用费均由我委自付。经咨询市直机关事务管理局，水电费预计</w:t>
      </w:r>
      <w:r>
        <w:rPr>
          <w:rFonts w:hint="eastAsia" w:ascii="TimesNewRoman" w:hAnsi="TimesNewRoman" w:eastAsia="仿宋_GB2312" w:cs="TimesNewRoman"/>
          <w:kern w:val="0"/>
          <w:sz w:val="32"/>
          <w:szCs w:val="32"/>
          <w:lang w:val="en-US" w:eastAsia="zh-CN"/>
        </w:rPr>
        <w:t>6.70</w:t>
      </w:r>
      <w:r>
        <w:rPr>
          <w:rFonts w:hint="eastAsia" w:ascii="TimesNewRoman" w:hAnsi="TimesNewRoman" w:eastAsia="仿宋_GB2312" w:cs="TimesNewRoman"/>
          <w:kern w:val="0"/>
          <w:sz w:val="32"/>
          <w:szCs w:val="32"/>
        </w:rPr>
        <w:t>万元/年；门锁维修、网络维护费</w:t>
      </w:r>
      <w:r>
        <w:rPr>
          <w:rFonts w:hint="eastAsia" w:ascii="TimesNewRoman" w:hAnsi="TimesNewRoman" w:eastAsia="仿宋_GB2312" w:cs="TimesNewRoman"/>
          <w:kern w:val="0"/>
          <w:sz w:val="32"/>
          <w:szCs w:val="32"/>
          <w:lang w:val="en-US" w:eastAsia="zh-CN"/>
        </w:rPr>
        <w:t>2.00</w:t>
      </w:r>
      <w:r>
        <w:rPr>
          <w:rFonts w:hint="eastAsia" w:ascii="TimesNewRoman" w:hAnsi="TimesNewRoman" w:eastAsia="仿宋_GB2312" w:cs="TimesNewRoman"/>
          <w:kern w:val="0"/>
          <w:sz w:val="32"/>
          <w:szCs w:val="32"/>
        </w:rPr>
        <w:t>万元/年；电信网络使用费</w:t>
      </w:r>
      <w:r>
        <w:rPr>
          <w:rFonts w:hint="eastAsia" w:ascii="TimesNewRoman" w:hAnsi="TimesNewRoman" w:eastAsia="仿宋_GB2312" w:cs="TimesNewRoman"/>
          <w:kern w:val="0"/>
          <w:sz w:val="32"/>
          <w:szCs w:val="32"/>
          <w:lang w:val="en-US" w:eastAsia="zh-CN"/>
        </w:rPr>
        <w:t>6.70</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（2）立项依据。按市政府统一按排，我局拟于2017年底前由市行政中心二楼搬至市招商局6层、10-11层办公，水电、保洁及网络使用费均由单位自付</w:t>
      </w:r>
      <w:r>
        <w:rPr>
          <w:rFonts w:hint="eastAsia" w:ascii="TimesNewRoman" w:hAnsi="TimesNewRoman" w:eastAsia="仿宋_GB2312" w:cs="TimesNewRoman"/>
          <w:kern w:val="0"/>
          <w:sz w:val="32"/>
          <w:szCs w:val="32"/>
          <w:lang w:val="en-US"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kern w:val="0"/>
          <w:sz w:val="32"/>
          <w:szCs w:val="32"/>
          <w:lang w:eastAsia="zh-CN"/>
        </w:rPr>
        <w:t>淮北市经济和信息化局</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eastAsia="zh-CN"/>
        </w:rPr>
        <w:t>202</w:t>
      </w: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lang w:eastAsia="zh-CN"/>
        </w:rPr>
        <w:t>年1-12月</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（5）项目内容。按照市政府统一安排,我委于2017年12搬至市招商大厦办公</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办公用房为6层、10-11层（其中6层8间），水电及保洁及网络使用费均由我委自付。经咨询市直机关事务管理局，水电费预计</w:t>
      </w:r>
      <w:r>
        <w:rPr>
          <w:rFonts w:hint="eastAsia" w:ascii="TimesNewRoman" w:hAnsi="TimesNewRoman" w:eastAsia="仿宋_GB2312" w:cs="TimesNewRoman"/>
          <w:kern w:val="0"/>
          <w:sz w:val="32"/>
          <w:szCs w:val="32"/>
          <w:lang w:val="en-US" w:eastAsia="zh-CN"/>
        </w:rPr>
        <w:t>6.70</w:t>
      </w:r>
      <w:r>
        <w:rPr>
          <w:rFonts w:hint="eastAsia" w:ascii="TimesNewRoman" w:hAnsi="TimesNewRoman" w:eastAsia="仿宋_GB2312" w:cs="TimesNewRoman"/>
          <w:kern w:val="0"/>
          <w:sz w:val="32"/>
          <w:szCs w:val="32"/>
        </w:rPr>
        <w:t>万元/年；门锁维修、网络维护费</w:t>
      </w:r>
      <w:r>
        <w:rPr>
          <w:rFonts w:hint="eastAsia" w:ascii="TimesNewRoman" w:hAnsi="TimesNewRoman" w:eastAsia="仿宋_GB2312" w:cs="TimesNewRoman"/>
          <w:kern w:val="0"/>
          <w:sz w:val="32"/>
          <w:szCs w:val="32"/>
          <w:lang w:val="en-US" w:eastAsia="zh-CN"/>
        </w:rPr>
        <w:t>2.00</w:t>
      </w:r>
      <w:r>
        <w:rPr>
          <w:rFonts w:hint="eastAsia" w:ascii="TimesNewRoman" w:hAnsi="TimesNewRoman" w:eastAsia="仿宋_GB2312" w:cs="TimesNewRoman"/>
          <w:kern w:val="0"/>
          <w:sz w:val="32"/>
          <w:szCs w:val="32"/>
        </w:rPr>
        <w:t>万元/年；电信网络使用费</w:t>
      </w:r>
      <w:r>
        <w:rPr>
          <w:rFonts w:hint="eastAsia" w:ascii="TimesNewRoman" w:hAnsi="TimesNewRoman" w:eastAsia="仿宋_GB2312" w:cs="TimesNewRoman"/>
          <w:kern w:val="0"/>
          <w:sz w:val="32"/>
          <w:szCs w:val="32"/>
          <w:lang w:val="en-US" w:eastAsia="zh-CN"/>
        </w:rPr>
        <w:t>6.70</w:t>
      </w:r>
      <w:r>
        <w:rPr>
          <w:rFonts w:hint="eastAsia" w:ascii="TimesNewRoman" w:hAnsi="TimesNewRoman" w:eastAsia="仿宋_GB2312" w:cs="TimesNewRoman"/>
          <w:kern w:val="0"/>
          <w:sz w:val="32"/>
          <w:szCs w:val="32"/>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（6）年度预算安排。15.40万元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w:t>
      </w:r>
      <w:r>
        <w:rPr>
          <w:rFonts w:hint="eastAsia" w:ascii="TimesNewRoman" w:hAnsi="TimesNewRoman" w:eastAsia="仿宋_GB2312" w:cs="TimesNewRoman"/>
          <w:kern w:val="0"/>
          <w:sz w:val="32"/>
          <w:szCs w:val="32"/>
          <w:lang w:val="en-US" w:eastAsia="zh-CN"/>
        </w:rPr>
        <w:t>1</w:t>
      </w:r>
      <w:r>
        <w:rPr>
          <w:rFonts w:hint="eastAsia" w:ascii="TimesNewRoman" w:hAnsi="TimesNewRoman" w:eastAsia="仿宋_GB2312" w:cs="TimesNewRoman"/>
          <w:kern w:val="0"/>
          <w:sz w:val="32"/>
          <w:szCs w:val="32"/>
        </w:rPr>
        <w:t>、“行业职能和管理服务费”项目。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w:t>
      </w:r>
      <w:r>
        <w:rPr>
          <w:rFonts w:hint="eastAsia" w:ascii="仿宋_GB2312" w:eastAsia="仿宋_GB2312"/>
          <w:sz w:val="32"/>
          <w:szCs w:val="32"/>
        </w:rPr>
        <w:t>淮北市工业行业办公室所属企业离休干部</w:t>
      </w:r>
      <w:r>
        <w:rPr>
          <w:rFonts w:hint="eastAsia" w:ascii="TimesNewRoman" w:hAnsi="TimesNewRoman" w:eastAsia="仿宋_GB2312" w:cs="TimesNewRoman"/>
          <w:kern w:val="0"/>
          <w:sz w:val="32"/>
          <w:szCs w:val="32"/>
          <w:lang w:val="en-US" w:eastAsia="zh-CN"/>
        </w:rPr>
        <w:t>19</w:t>
      </w:r>
      <w:r>
        <w:rPr>
          <w:rFonts w:hint="eastAsia" w:ascii="仿宋_GB2312" w:eastAsia="仿宋_GB2312"/>
          <w:sz w:val="32"/>
          <w:szCs w:val="32"/>
        </w:rPr>
        <w:t>人、企业退休县级干部</w:t>
      </w:r>
      <w:r>
        <w:rPr>
          <w:rFonts w:hint="eastAsia" w:ascii="TimesNewRoman" w:hAnsi="TimesNewRoman" w:eastAsia="仿宋_GB2312" w:cs="TimesNewRoman"/>
          <w:kern w:val="0"/>
          <w:sz w:val="32"/>
          <w:szCs w:val="32"/>
          <w:lang w:val="en-US" w:eastAsia="zh-CN"/>
        </w:rPr>
        <w:t>27</w:t>
      </w:r>
      <w:r>
        <w:rPr>
          <w:rFonts w:hint="eastAsia" w:ascii="仿宋_GB2312" w:eastAsia="仿宋_GB2312"/>
          <w:sz w:val="32"/>
          <w:szCs w:val="32"/>
        </w:rPr>
        <w:t>人、机关离休干部</w:t>
      </w:r>
      <w:r>
        <w:rPr>
          <w:rFonts w:hint="eastAsia" w:ascii="TimesNewRoman" w:hAnsi="TimesNewRoman" w:eastAsia="仿宋_GB2312" w:cs="TimesNewRoman"/>
          <w:kern w:val="0"/>
          <w:sz w:val="32"/>
          <w:szCs w:val="32"/>
          <w:lang w:val="en-US" w:eastAsia="zh-CN"/>
        </w:rPr>
        <w:t>4</w:t>
      </w:r>
      <w:r>
        <w:rPr>
          <w:rFonts w:hint="eastAsia" w:ascii="仿宋_GB2312" w:eastAsia="仿宋_GB2312"/>
          <w:sz w:val="32"/>
          <w:szCs w:val="32"/>
        </w:rPr>
        <w:t>人、机关退休干部</w:t>
      </w:r>
      <w:r>
        <w:rPr>
          <w:rFonts w:hint="eastAsia" w:ascii="TimesNewRoman" w:hAnsi="TimesNewRoman" w:eastAsia="仿宋_GB2312" w:cs="TimesNewRoman"/>
          <w:kern w:val="0"/>
          <w:sz w:val="32"/>
          <w:szCs w:val="32"/>
          <w:lang w:val="en-US" w:eastAsia="zh-CN"/>
        </w:rPr>
        <w:t>91</w:t>
      </w:r>
      <w:r>
        <w:rPr>
          <w:rFonts w:hint="eastAsia" w:ascii="仿宋_GB2312" w:eastAsia="仿宋_GB2312"/>
          <w:sz w:val="32"/>
          <w:szCs w:val="32"/>
        </w:rPr>
        <w:t>人，机关及所属企业离退休干部的遗属</w:t>
      </w:r>
      <w:r>
        <w:rPr>
          <w:rFonts w:hint="eastAsia" w:ascii="TimesNewRoman" w:hAnsi="TimesNewRoman" w:eastAsia="仿宋_GB2312" w:cs="TimesNewRoman"/>
          <w:kern w:val="0"/>
          <w:sz w:val="32"/>
          <w:szCs w:val="32"/>
          <w:lang w:val="en-US" w:eastAsia="zh-CN"/>
        </w:rPr>
        <w:t>12</w:t>
      </w:r>
      <w:r>
        <w:rPr>
          <w:rFonts w:hint="eastAsia" w:ascii="仿宋_GB2312" w:eastAsia="仿宋_GB2312"/>
          <w:sz w:val="32"/>
          <w:szCs w:val="32"/>
        </w:rPr>
        <w:t>人，每年该项目为行办服务管理的</w:t>
      </w:r>
      <w:r>
        <w:rPr>
          <w:rFonts w:hint="eastAsia" w:ascii="TimesNewRoman" w:hAnsi="TimesNewRoman" w:eastAsia="仿宋_GB2312" w:cs="TimesNewRoman"/>
          <w:kern w:val="0"/>
          <w:sz w:val="32"/>
          <w:szCs w:val="32"/>
          <w:lang w:val="en-US" w:eastAsia="zh-CN"/>
        </w:rPr>
        <w:t>153人</w:t>
      </w:r>
      <w:r>
        <w:rPr>
          <w:rFonts w:hint="eastAsia" w:ascii="仿宋_GB2312" w:eastAsia="仿宋_GB2312"/>
          <w:sz w:val="32"/>
          <w:szCs w:val="32"/>
        </w:rPr>
        <w:t>提供调研、管理和服务工作，用于体检、办公、差旅费、购置设备等。</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w:t>
      </w:r>
      <w:r>
        <w:rPr>
          <w:rFonts w:hint="eastAsia" w:ascii="仿宋_GB2312" w:eastAsia="仿宋_GB2312"/>
          <w:sz w:val="32"/>
          <w:szCs w:val="32"/>
        </w:rPr>
        <w:t>淮编【2008】2号、淮编【2011】32号</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（3）实施主体。淮北市企业服务中心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（4）起止时间。202</w:t>
      </w:r>
      <w:r>
        <w:rPr>
          <w:rFonts w:hint="eastAsia" w:ascii="TimesNewRoman" w:hAnsi="TimesNewRoman" w:eastAsia="仿宋_GB2312" w:cs="TimesNewRoman"/>
          <w:kern w:val="0"/>
          <w:sz w:val="32"/>
          <w:szCs w:val="32"/>
          <w:lang w:val="en-US" w:eastAsia="zh-CN"/>
        </w:rPr>
        <w:t>4</w:t>
      </w:r>
      <w:r>
        <w:rPr>
          <w:rFonts w:hint="eastAsia" w:ascii="仿宋_GB2312" w:eastAsia="仿宋_GB2312"/>
          <w:sz w:val="32"/>
          <w:szCs w:val="32"/>
        </w:rPr>
        <w:t>年</w:t>
      </w:r>
      <w:r>
        <w:rPr>
          <w:rFonts w:hint="eastAsia" w:ascii="TimesNewRoman" w:hAnsi="TimesNewRoman" w:eastAsia="仿宋_GB2312" w:cs="TimesNewRoman"/>
          <w:kern w:val="0"/>
          <w:sz w:val="32"/>
          <w:szCs w:val="32"/>
        </w:rPr>
        <w:t>1</w:t>
      </w:r>
      <w:r>
        <w:rPr>
          <w:rFonts w:hint="eastAsia" w:ascii="仿宋_GB2312" w:eastAsia="仿宋_GB2312"/>
          <w:sz w:val="32"/>
          <w:szCs w:val="32"/>
        </w:rPr>
        <w:t>-</w:t>
      </w:r>
      <w:r>
        <w:rPr>
          <w:rFonts w:hint="eastAsia" w:ascii="TimesNewRoman" w:hAnsi="TimesNewRoman" w:eastAsia="仿宋_GB2312" w:cs="TimesNewRoman"/>
          <w:kern w:val="0"/>
          <w:sz w:val="32"/>
          <w:szCs w:val="32"/>
        </w:rPr>
        <w:t>12</w:t>
      </w:r>
      <w:r>
        <w:rPr>
          <w:rFonts w:hint="eastAsia" w:ascii="仿宋_GB2312" w:eastAsia="仿宋_GB2312"/>
          <w:sz w:val="32"/>
          <w:szCs w:val="32"/>
        </w:rPr>
        <w:t>月</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w:t>
      </w:r>
      <w:r>
        <w:rPr>
          <w:rFonts w:hint="eastAsia" w:ascii="仿宋_GB2312" w:eastAsia="仿宋_GB2312"/>
          <w:sz w:val="32"/>
          <w:szCs w:val="32"/>
        </w:rPr>
        <w:t>淮北市工业行业办公室所属企业离休干部</w:t>
      </w:r>
      <w:r>
        <w:rPr>
          <w:rFonts w:hint="eastAsia" w:ascii="TimesNewRoman" w:hAnsi="TimesNewRoman" w:eastAsia="仿宋_GB2312" w:cs="TimesNewRoman"/>
          <w:kern w:val="0"/>
          <w:sz w:val="32"/>
          <w:szCs w:val="32"/>
          <w:lang w:val="en-US" w:eastAsia="zh-CN"/>
        </w:rPr>
        <w:t>19</w:t>
      </w:r>
      <w:r>
        <w:rPr>
          <w:rFonts w:hint="eastAsia" w:ascii="仿宋_GB2312" w:eastAsia="仿宋_GB2312"/>
          <w:sz w:val="32"/>
          <w:szCs w:val="32"/>
        </w:rPr>
        <w:t>人、企业退休县级干部</w:t>
      </w:r>
      <w:r>
        <w:rPr>
          <w:rFonts w:hint="eastAsia" w:ascii="TimesNewRoman" w:hAnsi="TimesNewRoman" w:eastAsia="仿宋_GB2312" w:cs="TimesNewRoman"/>
          <w:kern w:val="0"/>
          <w:sz w:val="32"/>
          <w:szCs w:val="32"/>
          <w:lang w:val="en-US" w:eastAsia="zh-CN"/>
        </w:rPr>
        <w:t>27</w:t>
      </w:r>
      <w:r>
        <w:rPr>
          <w:rFonts w:hint="eastAsia" w:ascii="仿宋_GB2312" w:eastAsia="仿宋_GB2312"/>
          <w:sz w:val="32"/>
          <w:szCs w:val="32"/>
        </w:rPr>
        <w:t>人、机关离休干部</w:t>
      </w:r>
      <w:r>
        <w:rPr>
          <w:rFonts w:hint="eastAsia" w:ascii="TimesNewRoman" w:hAnsi="TimesNewRoman" w:eastAsia="仿宋_GB2312" w:cs="TimesNewRoman"/>
          <w:kern w:val="0"/>
          <w:sz w:val="32"/>
          <w:szCs w:val="32"/>
          <w:lang w:val="en-US" w:eastAsia="zh-CN"/>
        </w:rPr>
        <w:t>4</w:t>
      </w:r>
      <w:r>
        <w:rPr>
          <w:rFonts w:hint="eastAsia" w:ascii="仿宋_GB2312" w:eastAsia="仿宋_GB2312"/>
          <w:sz w:val="32"/>
          <w:szCs w:val="32"/>
        </w:rPr>
        <w:t>人、机关退休干部</w:t>
      </w:r>
      <w:r>
        <w:rPr>
          <w:rFonts w:hint="eastAsia" w:ascii="TimesNewRoman" w:hAnsi="TimesNewRoman" w:eastAsia="仿宋_GB2312" w:cs="TimesNewRoman"/>
          <w:kern w:val="0"/>
          <w:sz w:val="32"/>
          <w:szCs w:val="32"/>
          <w:lang w:val="en-US" w:eastAsia="zh-CN"/>
        </w:rPr>
        <w:t>91</w:t>
      </w:r>
      <w:r>
        <w:rPr>
          <w:rFonts w:hint="eastAsia" w:ascii="仿宋_GB2312" w:eastAsia="仿宋_GB2312"/>
          <w:sz w:val="32"/>
          <w:szCs w:val="32"/>
        </w:rPr>
        <w:t>人，机关及所属企业离退休干部的遗属</w:t>
      </w:r>
      <w:r>
        <w:rPr>
          <w:rFonts w:hint="eastAsia" w:ascii="TimesNewRoman" w:hAnsi="TimesNewRoman" w:eastAsia="仿宋_GB2312" w:cs="TimesNewRoman"/>
          <w:kern w:val="0"/>
          <w:sz w:val="32"/>
          <w:szCs w:val="32"/>
          <w:lang w:val="en-US" w:eastAsia="zh-CN"/>
        </w:rPr>
        <w:t>12</w:t>
      </w:r>
      <w:r>
        <w:rPr>
          <w:rFonts w:hint="eastAsia" w:ascii="仿宋_GB2312" w:eastAsia="仿宋_GB2312"/>
          <w:sz w:val="32"/>
          <w:szCs w:val="32"/>
        </w:rPr>
        <w:t>人，每年该项目为行办服务管理的</w:t>
      </w:r>
      <w:r>
        <w:rPr>
          <w:rFonts w:hint="eastAsia" w:ascii="TimesNewRoman" w:hAnsi="TimesNewRoman" w:eastAsia="仿宋_GB2312" w:cs="TimesNewRoman"/>
          <w:kern w:val="0"/>
          <w:sz w:val="32"/>
          <w:szCs w:val="32"/>
          <w:lang w:val="en-US" w:eastAsia="zh-CN"/>
        </w:rPr>
        <w:t>153人</w:t>
      </w:r>
      <w:r>
        <w:rPr>
          <w:rFonts w:hint="eastAsia" w:ascii="仿宋_GB2312" w:eastAsia="仿宋_GB2312"/>
          <w:sz w:val="32"/>
          <w:szCs w:val="32"/>
        </w:rPr>
        <w:t>提供调研、管理和服务工作，用于体检、办公、差旅费、购置设备等</w:t>
      </w:r>
      <w:r>
        <w:rPr>
          <w:rFonts w:hint="eastAsia" w:ascii="仿宋_GB2312" w:eastAsia="仿宋_GB2312"/>
          <w:sz w:val="32"/>
          <w:szCs w:val="32"/>
          <w:lang w:eastAsia="zh-CN"/>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3.00</w:t>
      </w:r>
      <w:r>
        <w:rPr>
          <w:rFonts w:hint="eastAsia" w:ascii="仿宋_GB2312" w:hAnsi="楷体" w:eastAsia="仿宋_GB2312"/>
          <w:sz w:val="32"/>
          <w:szCs w:val="32"/>
          <w:lang w:val="en-US" w:eastAsia="zh-CN"/>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12</w:t>
      </w:r>
      <w:r>
        <w:rPr>
          <w:rFonts w:hint="eastAsia" w:ascii="TimesNewRoman" w:hAnsi="TimesNewRoman" w:eastAsia="仿宋_GB2312" w:cs="TimesNewRoman"/>
          <w:kern w:val="0"/>
          <w:sz w:val="32"/>
          <w:szCs w:val="32"/>
        </w:rPr>
        <w:t>、“企业离休人员管理服务费”项目。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（1）项目概述。淮北市工业行业办公室所属企业离休干部10人，每人每年管理服务费3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元，合计30</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元。企业离休干部管理服务费是2008年度以前收取的企业离休人员管理费，共计收取80.4</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万元。2009年单位基本户取消后,该款项即缴入市财政非税收入代收代办户</w:t>
      </w:r>
      <w:r>
        <w:rPr>
          <w:rFonts w:hint="eastAsia" w:ascii="仿宋_GB2312" w:eastAsia="仿宋_GB2312"/>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（2）立项依据。淮北市工业行业办公室所属企业离休干部10人，每人每年管理服务费3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元，合计30</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（3）实施主体。淮北市企业服务中心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（4）起止时间。202</w:t>
      </w:r>
      <w:r>
        <w:rPr>
          <w:rFonts w:hint="eastAsia" w:ascii="TimesNewRoman" w:hAnsi="TimesNewRoman" w:eastAsia="仿宋_GB2312" w:cs="TimesNewRoman"/>
          <w:kern w:val="0"/>
          <w:sz w:val="32"/>
          <w:szCs w:val="32"/>
          <w:lang w:val="en-US" w:eastAsia="zh-CN"/>
        </w:rPr>
        <w:t>4</w:t>
      </w:r>
      <w:r>
        <w:rPr>
          <w:rFonts w:hint="eastAsia" w:ascii="仿宋_GB2312" w:eastAsia="仿宋_GB2312"/>
          <w:sz w:val="32"/>
          <w:szCs w:val="32"/>
        </w:rPr>
        <w:t>年</w:t>
      </w:r>
      <w:r>
        <w:rPr>
          <w:rFonts w:hint="eastAsia" w:ascii="TimesNewRoman" w:hAnsi="TimesNewRoman" w:eastAsia="仿宋_GB2312" w:cs="TimesNewRoman"/>
          <w:kern w:val="0"/>
          <w:sz w:val="32"/>
          <w:szCs w:val="32"/>
        </w:rPr>
        <w:t>1</w:t>
      </w:r>
      <w:r>
        <w:rPr>
          <w:rFonts w:hint="eastAsia" w:ascii="仿宋_GB2312" w:eastAsia="仿宋_GB2312"/>
          <w:sz w:val="32"/>
          <w:szCs w:val="32"/>
        </w:rPr>
        <w:t>-</w:t>
      </w:r>
      <w:r>
        <w:rPr>
          <w:rFonts w:hint="eastAsia" w:ascii="TimesNewRoman" w:hAnsi="TimesNewRoman" w:eastAsia="仿宋_GB2312" w:cs="TimesNewRoman"/>
          <w:kern w:val="0"/>
          <w:sz w:val="32"/>
          <w:szCs w:val="32"/>
        </w:rPr>
        <w:t>12</w:t>
      </w:r>
      <w:r>
        <w:rPr>
          <w:rFonts w:hint="eastAsia" w:ascii="仿宋_GB2312" w:eastAsia="仿宋_GB2312"/>
          <w:sz w:val="32"/>
          <w:szCs w:val="32"/>
        </w:rPr>
        <w:t>月</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（5）项目内容。淮北市工业行业办公室所属企业离休干部10人，每人每年管理服务费3</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元，合计30</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000</w:t>
      </w:r>
      <w:r>
        <w:rPr>
          <w:rFonts w:hint="eastAsia" w:ascii="TimesNewRoman" w:hAnsi="TimesNewRoman" w:eastAsia="仿宋_GB2312" w:cs="TimesNewRoman"/>
          <w:kern w:val="0"/>
          <w:sz w:val="32"/>
          <w:szCs w:val="32"/>
          <w:lang w:val="en-US" w:eastAsia="zh-CN"/>
        </w:rPr>
        <w:t>.00</w:t>
      </w:r>
      <w:r>
        <w:rPr>
          <w:rFonts w:hint="eastAsia" w:ascii="TimesNewRoman" w:hAnsi="TimesNewRoman" w:eastAsia="仿宋_GB2312" w:cs="TimesNewRoman"/>
          <w:kern w:val="0"/>
          <w:sz w:val="32"/>
          <w:szCs w:val="32"/>
        </w:rPr>
        <w:t>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3.00</w:t>
      </w:r>
      <w:r>
        <w:rPr>
          <w:rFonts w:hint="eastAsia" w:ascii="仿宋_GB2312" w:hAnsi="楷体" w:eastAsia="仿宋_GB2312"/>
          <w:sz w:val="32"/>
          <w:szCs w:val="32"/>
          <w:lang w:val="en-US" w:eastAsia="zh-CN"/>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13</w:t>
      </w:r>
      <w:r>
        <w:rPr>
          <w:rFonts w:hint="eastAsia" w:ascii="TimesNewRoman" w:hAnsi="TimesNewRoman" w:eastAsia="仿宋_GB2312" w:cs="TimesNewRoman"/>
          <w:kern w:val="0"/>
          <w:sz w:val="32"/>
          <w:szCs w:val="32"/>
        </w:rPr>
        <w:t>、“办公大楼运行等工作经费”项目。</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（1）项目概述。按照市政府统一安排,我局于2022年搬至市招商大厦办公, 办公用房为4层，水电及保洁及网络使用费均由我单位自付</w:t>
      </w:r>
      <w:r>
        <w:rPr>
          <w:rFonts w:hint="eastAsia" w:ascii="仿宋_GB2312" w:eastAsia="仿宋_GB2312"/>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（2）立项依据。按照市政府统一安排,我局于2022年搬至市招商大厦办公, 办公用房为4层，水电及保洁及网络使用费均由我单位自付</w:t>
      </w:r>
      <w:r>
        <w:rPr>
          <w:rFonts w:hint="eastAsia" w:ascii="仿宋_GB2312" w:eastAsia="仿宋_GB2312"/>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（3）实施主体。淮北市企业服务中心</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（4）起止时间。202</w:t>
      </w:r>
      <w:r>
        <w:rPr>
          <w:rFonts w:hint="eastAsia" w:ascii="TimesNewRoman" w:hAnsi="TimesNewRoman" w:eastAsia="仿宋_GB2312" w:cs="TimesNewRoman"/>
          <w:kern w:val="0"/>
          <w:sz w:val="32"/>
          <w:szCs w:val="32"/>
          <w:lang w:val="en-US" w:eastAsia="zh-CN"/>
        </w:rPr>
        <w:t>4</w:t>
      </w:r>
      <w:r>
        <w:rPr>
          <w:rFonts w:hint="eastAsia" w:ascii="仿宋_GB2312" w:eastAsia="仿宋_GB2312"/>
          <w:sz w:val="32"/>
          <w:szCs w:val="32"/>
        </w:rPr>
        <w:t>年</w:t>
      </w:r>
      <w:r>
        <w:rPr>
          <w:rFonts w:hint="eastAsia" w:ascii="TimesNewRoman" w:hAnsi="TimesNewRoman" w:eastAsia="仿宋_GB2312" w:cs="TimesNewRoman"/>
          <w:kern w:val="0"/>
          <w:sz w:val="32"/>
          <w:szCs w:val="32"/>
        </w:rPr>
        <w:t>1</w:t>
      </w:r>
      <w:r>
        <w:rPr>
          <w:rFonts w:hint="eastAsia" w:ascii="仿宋_GB2312" w:eastAsia="仿宋_GB2312"/>
          <w:sz w:val="32"/>
          <w:szCs w:val="32"/>
        </w:rPr>
        <w:t>-</w:t>
      </w:r>
      <w:r>
        <w:rPr>
          <w:rFonts w:hint="eastAsia" w:ascii="TimesNewRoman" w:hAnsi="TimesNewRoman" w:eastAsia="仿宋_GB2312" w:cs="TimesNewRoman"/>
          <w:kern w:val="0"/>
          <w:sz w:val="32"/>
          <w:szCs w:val="32"/>
        </w:rPr>
        <w:t>12</w:t>
      </w:r>
      <w:r>
        <w:rPr>
          <w:rFonts w:hint="eastAsia" w:ascii="仿宋_GB2312" w:eastAsia="仿宋_GB2312"/>
          <w:sz w:val="32"/>
          <w:szCs w:val="32"/>
        </w:rPr>
        <w:t>月</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（5）项目内容。按照市政府统一安排,我局于2022年搬至市招商大厦办公, 办公用房为4层，水电及保洁及网络使用费均由我单位自付。</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4.00</w:t>
      </w:r>
      <w:r>
        <w:rPr>
          <w:rFonts w:hint="eastAsia" w:ascii="仿宋_GB2312" w:hAnsi="楷体" w:eastAsia="仿宋_GB2312"/>
          <w:sz w:val="32"/>
          <w:szCs w:val="32"/>
          <w:lang w:val="en-US" w:eastAsia="zh-CN"/>
        </w:rPr>
        <w:t>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r>
        <w:rPr>
          <w:rFonts w:hint="eastAsia" w:ascii="TimesNewRoman" w:hAnsi="TimesNewRoman" w:eastAsia="仿宋_GB2312" w:cs="TimesNewRoman"/>
          <w:kern w:val="0"/>
          <w:sz w:val="32"/>
          <w:szCs w:val="32"/>
          <w:lang w:val="en-US" w:eastAsia="zh-CN"/>
        </w:rPr>
        <w:t>详见附件1-3</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2024年机关运行经费财政拨款预算</w:t>
      </w:r>
      <w:r>
        <w:rPr>
          <w:rFonts w:hint="eastAsia" w:ascii="TimesNewRoman" w:hAnsi="TimesNewRoman" w:eastAsia="仿宋_GB2312" w:cs="TimesNewRoman"/>
          <w:kern w:val="0"/>
          <w:sz w:val="32"/>
          <w:szCs w:val="32"/>
          <w:lang w:val="en-US" w:eastAsia="zh-CN"/>
        </w:rPr>
        <w:t>105.86</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5.41</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4.86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压减预算,节约开支</w:t>
      </w:r>
      <w:r>
        <w:rPr>
          <w:rFonts w:hint="eastAsia" w:ascii="TimesNewRoman" w:hAnsi="TimesNewRoman" w:eastAsia="仿宋_GB2312" w:cs="TimesNewRoman"/>
          <w:kern w:val="0"/>
          <w:sz w:val="32"/>
          <w:szCs w:val="32"/>
        </w:rPr>
        <w:t>。</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2024年政府采购预算</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3.00</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截至2023年12月31日，</w:t>
      </w: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辆，其中：其他用车</w:t>
      </w:r>
      <w:r>
        <w:rPr>
          <w:rFonts w:hint="eastAsia" w:ascii="TimesNewRoman" w:hAnsi="TimesNewRoman" w:eastAsia="仿宋_GB2312" w:cs="TimesNewRoman"/>
          <w:kern w:val="0"/>
          <w:sz w:val="32"/>
          <w:szCs w:val="32"/>
          <w:lang w:val="en-US" w:eastAsia="zh-CN"/>
        </w:rPr>
        <w:t>2</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2024年部门（单位）预算安排购置公务用车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w:t>
      </w:r>
      <w:r>
        <w:rPr>
          <w:rFonts w:hint="eastAsia" w:ascii="TimesNewRoman" w:hAnsi="TimesNewRoman" w:eastAsia="仿宋_GB2312" w:cs="TimesNewRoman"/>
          <w:kern w:val="0"/>
          <w:sz w:val="32"/>
          <w:szCs w:val="32"/>
          <w:lang w:eastAsia="zh-CN"/>
        </w:rPr>
        <w:t>淮北市经济和信息化局</w:t>
      </w:r>
      <w:r>
        <w:rPr>
          <w:rFonts w:hint="eastAsia" w:ascii="TimesNewRoman" w:hAnsi="TimesNewRoman" w:eastAsia="仿宋_GB2312" w:cs="TimesNewRoman"/>
          <w:kern w:val="0"/>
          <w:sz w:val="32"/>
          <w:szCs w:val="32"/>
          <w:lang w:val="en-US" w:eastAsia="zh-CN"/>
        </w:rPr>
        <w:t>13</w:t>
      </w:r>
      <w:r>
        <w:rPr>
          <w:rFonts w:hint="eastAsia" w:ascii="TimesNewRoman" w:hAnsi="TimesNewRoman" w:eastAsia="仿宋_GB2312" w:cs="TimesNewRoman"/>
          <w:kern w:val="0"/>
          <w:sz w:val="32"/>
          <w:szCs w:val="32"/>
        </w:rPr>
        <w:t>个项目实行了绩效目标管理，涉及一般公共预算当年财政拨款7</w:t>
      </w:r>
      <w:r>
        <w:rPr>
          <w:rFonts w:hint="eastAsia" w:ascii="TimesNewRoman" w:hAnsi="TimesNewRoman" w:eastAsia="仿宋_GB2312" w:cs="TimesNewRoman"/>
          <w:kern w:val="0"/>
          <w:sz w:val="32"/>
          <w:szCs w:val="32"/>
          <w:lang w:val="en-US" w:eastAsia="zh-CN"/>
        </w:rPr>
        <w:t>,</w:t>
      </w:r>
      <w:r>
        <w:rPr>
          <w:rFonts w:hint="eastAsia" w:ascii="TimesNewRoman" w:hAnsi="TimesNewRoman" w:eastAsia="仿宋_GB2312" w:cs="TimesNewRoman"/>
          <w:kern w:val="0"/>
          <w:sz w:val="32"/>
          <w:szCs w:val="32"/>
        </w:rPr>
        <w:t>8</w:t>
      </w: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2.2</w:t>
      </w: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9"/>
        <w:adjustRightInd w:val="0"/>
        <w:snapToGrid w:val="0"/>
        <w:spacing w:line="560" w:lineRule="exact"/>
        <w:jc w:val="center"/>
        <w:rPr>
          <w:rFonts w:ascii="TimesNewRoman" w:hAnsi="TimesNewRoman" w:eastAsia="黑体" w:cs="TimesNewRoman"/>
          <w:bCs/>
          <w:sz w:val="36"/>
          <w:szCs w:val="36"/>
        </w:rPr>
      </w:pPr>
    </w:p>
    <w:p>
      <w:pPr>
        <w:pStyle w:val="9"/>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9"/>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9"/>
        <w:adjustRightInd w:val="0"/>
        <w:snapToGrid w:val="0"/>
        <w:spacing w:line="560" w:lineRule="exact"/>
        <w:ind w:firstLine="630" w:firstLineChars="196"/>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
    <w:altName w:val="Arial Unicode MS"/>
    <w:panose1 w:val="00000000000000000000"/>
    <w:charset w:val="00"/>
    <w:family w:val="auto"/>
    <w:pitch w:val="default"/>
    <w:sig w:usb0="00000000" w:usb1="00000000" w:usb2="00000029" w:usb3="00000000" w:csb0="6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D4C9"/>
    <w:multiLevelType w:val="singleLevel"/>
    <w:tmpl w:val="8499D4C9"/>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zMjY1OTU5ZWRlMjMwZWM3NzY4MjEzYWE3OTA3NWEifQ=="/>
  </w:docVars>
  <w:rsids>
    <w:rsidRoot w:val="00E907C4"/>
    <w:rsid w:val="000E28EE"/>
    <w:rsid w:val="00267E33"/>
    <w:rsid w:val="004A4DC6"/>
    <w:rsid w:val="0057562B"/>
    <w:rsid w:val="006546AF"/>
    <w:rsid w:val="00726D96"/>
    <w:rsid w:val="008F6D1A"/>
    <w:rsid w:val="009A3CA3"/>
    <w:rsid w:val="00AE3242"/>
    <w:rsid w:val="00BD640A"/>
    <w:rsid w:val="00DB2A5C"/>
    <w:rsid w:val="00E907C4"/>
    <w:rsid w:val="00EC7755"/>
    <w:rsid w:val="00F974AD"/>
    <w:rsid w:val="12897505"/>
    <w:rsid w:val="12BE53D5"/>
    <w:rsid w:val="184C1107"/>
    <w:rsid w:val="1A22449B"/>
    <w:rsid w:val="1E432C32"/>
    <w:rsid w:val="24AF4B7D"/>
    <w:rsid w:val="263E3022"/>
    <w:rsid w:val="2C007FC6"/>
    <w:rsid w:val="33044C2E"/>
    <w:rsid w:val="34921373"/>
    <w:rsid w:val="3CA52FDE"/>
    <w:rsid w:val="41E2613A"/>
    <w:rsid w:val="43FD31E6"/>
    <w:rsid w:val="4DC64B62"/>
    <w:rsid w:val="4F9060D0"/>
    <w:rsid w:val="50306C0B"/>
    <w:rsid w:val="53435A57"/>
    <w:rsid w:val="5D294C08"/>
    <w:rsid w:val="5E404197"/>
    <w:rsid w:val="75047B9A"/>
    <w:rsid w:val="76524F35"/>
    <w:rsid w:val="76CC0B8C"/>
    <w:rsid w:val="78B1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cs="Calibri"/>
      <w:szCs w:val="21"/>
    </w:rPr>
  </w:style>
  <w:style w:type="paragraph" w:styleId="3">
    <w:name w:val="Body Text"/>
    <w:basedOn w:val="1"/>
    <w:next w:val="4"/>
    <w:autoRedefine/>
    <w:qFormat/>
    <w:uiPriority w:val="99"/>
    <w:pPr>
      <w:spacing w:after="120"/>
    </w:pPr>
  </w:style>
  <w:style w:type="paragraph" w:styleId="4">
    <w:name w:val="Date"/>
    <w:basedOn w:val="1"/>
    <w:next w:val="1"/>
    <w:autoRedefine/>
    <w:unhideWhenUsed/>
    <w:qFormat/>
    <w:uiPriority w:val="99"/>
    <w:pPr>
      <w:ind w:left="100" w:leftChars="2500"/>
    </w:pPr>
  </w:style>
  <w:style w:type="paragraph" w:styleId="5">
    <w:name w:val="Body Text Indent"/>
    <w:basedOn w:val="1"/>
    <w:next w:val="2"/>
    <w:autoRedefine/>
    <w:qFormat/>
    <w:uiPriority w:val="0"/>
    <w:pPr>
      <w:spacing w:after="120"/>
      <w:ind w:left="420" w:leftChars="200"/>
    </w:pPr>
  </w:style>
  <w:style w:type="paragraph" w:styleId="6">
    <w:name w:val="Body Text Indent 2"/>
    <w:basedOn w:val="1"/>
    <w:next w:val="1"/>
    <w:semiHidden/>
    <w:qFormat/>
    <w:uiPriority w:val="99"/>
    <w:pPr>
      <w:spacing w:before="100" w:beforeAutospacing="1" w:after="120" w:line="480" w:lineRule="auto"/>
      <w:ind w:left="420" w:leftChars="200"/>
    </w:pPr>
    <w:rPr>
      <w:rFonts w:cs="Calibri"/>
      <w:szCs w:val="21"/>
    </w:rPr>
  </w:style>
  <w:style w:type="paragraph" w:styleId="7">
    <w:name w:val="footer"/>
    <w:basedOn w:val="1"/>
    <w:link w:val="14"/>
    <w:semiHidden/>
    <w:unhideWhenUsed/>
    <w:uiPriority w:val="99"/>
    <w:pPr>
      <w:tabs>
        <w:tab w:val="center" w:pos="4153"/>
        <w:tab w:val="right" w:pos="8306"/>
      </w:tabs>
      <w:snapToGrid w:val="0"/>
      <w:jc w:val="left"/>
    </w:pPr>
    <w:rPr>
      <w:sz w:val="18"/>
      <w:szCs w:val="18"/>
    </w:rPr>
  </w:style>
  <w:style w:type="paragraph" w:styleId="8">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5"/>
    <w:next w:val="1"/>
    <w:autoRedefine/>
    <w:qFormat/>
    <w:uiPriority w:val="99"/>
    <w:pPr>
      <w:ind w:firstLine="420" w:firstLineChars="200"/>
    </w:pPr>
  </w:style>
  <w:style w:type="character" w:customStyle="1" w:styleId="13">
    <w:name w:val="页眉 Char"/>
    <w:basedOn w:val="12"/>
    <w:link w:val="8"/>
    <w:autoRedefine/>
    <w:semiHidden/>
    <w:qFormat/>
    <w:uiPriority w:val="99"/>
    <w:rPr>
      <w:sz w:val="18"/>
      <w:szCs w:val="18"/>
    </w:rPr>
  </w:style>
  <w:style w:type="character" w:customStyle="1" w:styleId="14">
    <w:name w:val="页脚 Char"/>
    <w:basedOn w:val="12"/>
    <w:link w:val="7"/>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2</TotalTime>
  <ScaleCrop>false</ScaleCrop>
  <LinksUpToDate>false</LinksUpToDate>
  <CharactersWithSpaces>6578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微信用户</cp:lastModifiedBy>
  <dcterms:modified xsi:type="dcterms:W3CDTF">2024-02-23T03:13:22Z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CFC7B60874D546F380EDCF17D16DE520_12</vt:lpwstr>
  </property>
</Properties>
</file>